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50" w:afterLines="150"/>
        <w:jc w:val="center"/>
        <w:rPr>
          <w:rFonts w:ascii="方正小标宋简体" w:hAnsi="华文中宋" w:eastAsia="方正小标宋简体"/>
          <w:b/>
          <w:snapToGrid w:val="0"/>
          <w:color w:val="FF0000"/>
          <w:spacing w:val="42"/>
          <w:w w:val="65"/>
          <w:sz w:val="120"/>
          <w:szCs w:val="120"/>
        </w:rPr>
      </w:pPr>
      <w:bookmarkStart w:id="0" w:name="文件内容"/>
      <w:bookmarkEnd w:id="0"/>
      <w:bookmarkStart w:id="9" w:name="_GoBack"/>
      <w:bookmarkEnd w:id="9"/>
      <w:r>
        <w:rPr>
          <w:rFonts w:hint="eastAsia" w:ascii="方正小标宋简体" w:hAnsi="华文中宋" w:eastAsia="方正小标宋简体"/>
          <w:b/>
          <w:snapToGrid w:val="0"/>
          <w:color w:val="FF0000"/>
          <w:spacing w:val="42"/>
          <w:w w:val="65"/>
          <w:sz w:val="120"/>
          <w:szCs w:val="120"/>
        </w:rPr>
        <w:t>河南理工大学招就处</w:t>
      </w:r>
    </w:p>
    <w:p>
      <w:pPr>
        <w:adjustRightInd w:val="0"/>
        <w:snapToGrid w:val="0"/>
        <w:spacing w:line="348" w:lineRule="auto"/>
        <w:jc w:val="center"/>
        <w:rPr>
          <w:sz w:val="32"/>
          <w:szCs w:val="32"/>
        </w:rPr>
      </w:pPr>
      <w:r>
        <w:rPr>
          <w:rFonts w:hint="eastAsia" w:hAnsi="宋体" w:cs="宋体"/>
          <w:sz w:val="32"/>
          <w:szCs w:val="32"/>
        </w:rPr>
        <w:t>招就工作通知〔</w:t>
      </w:r>
      <w:r>
        <w:rPr>
          <w:rFonts w:hAnsi="宋体" w:cs="宋体"/>
          <w:sz w:val="32"/>
          <w:szCs w:val="32"/>
        </w:rPr>
        <w:t>202</w:t>
      </w:r>
      <w:r>
        <w:rPr>
          <w:rFonts w:hint="eastAsia" w:hAnsi="宋体" w:cs="宋体"/>
          <w:sz w:val="32"/>
          <w:szCs w:val="32"/>
        </w:rPr>
        <w:t>1〕3号</w:t>
      </w:r>
    </w:p>
    <w:p>
      <w:pPr>
        <w:adjustRightInd w:val="0"/>
        <w:snapToGrid w:val="0"/>
        <w:spacing w:line="348" w:lineRule="auto"/>
        <w:jc w:val="center"/>
        <w:rPr>
          <w:rFonts w:ascii="Times New Roman" w:eastAsia="方正小标宋简体"/>
          <w:color w:val="auto"/>
          <w:sz w:val="44"/>
          <w:szCs w:val="44"/>
        </w:rPr>
      </w:pPr>
      <w:r>
        <w:rPr>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5715000" cy="0"/>
                <wp:effectExtent l="0" t="0" r="0" b="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FF0000"/>
                          </a:solidFill>
                          <a:round/>
                        </a:ln>
                        <a:effectLst/>
                      </wps:spPr>
                      <wps:bodyPr/>
                    </wps:wsp>
                  </a:graphicData>
                </a:graphic>
              </wp:anchor>
            </w:drawing>
          </mc:Choice>
          <mc:Fallback>
            <w:pict>
              <v:line id="Line 2" o:spid="_x0000_s1026" o:spt="20" style="position:absolute;left:0pt;margin-left:0pt;margin-top:1.15pt;height:0pt;width:450pt;z-index:251659264;mso-width-relative:page;mso-height-relative:page;" filled="f" stroked="t" coordsize="21600,21600" o:gfxdata="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894v9IAAAAEAQAADwAAAAAAAAABACAAAAAiAAAAZHJzL2Rv&#10;d25yZXYueG1sUEsBAhQAFAAAAAgAh07iQF6op4HOAQAArgMAAA4AAAAAAAAAAQAgAAAAIQEAAGRy&#10;cy9lMm9Eb2MueG1sUEsFBgAAAAAGAAYAWQEAAGEFAAAAAA==&#10;">
                <v:fill on="f" focussize="0,0"/>
                <v:stroke weight="1pt" color="#FF0000" joinstyle="round"/>
                <v:imagedata o:title=""/>
                <o:lock v:ext="edit" aspectratio="f"/>
              </v:line>
            </w:pict>
          </mc:Fallback>
        </mc:AlternateContent>
      </w:r>
    </w:p>
    <w:p>
      <w:pPr>
        <w:adjustRightInd w:val="0"/>
        <w:snapToGrid w:val="0"/>
        <w:spacing w:line="300" w:lineRule="auto"/>
        <w:jc w:val="center"/>
        <w:rPr>
          <w:rFonts w:ascii="Times New Roman" w:eastAsia="方正小标宋简体"/>
          <w:color w:val="auto"/>
          <w:sz w:val="44"/>
          <w:szCs w:val="44"/>
        </w:rPr>
      </w:pPr>
      <w:r>
        <w:rPr>
          <w:rFonts w:ascii="Times New Roman" w:eastAsia="方正小标宋简体"/>
          <w:color w:val="auto"/>
          <w:sz w:val="44"/>
          <w:szCs w:val="44"/>
        </w:rPr>
        <w:t>河南理工大学关于举办2021年大学生职业</w:t>
      </w:r>
    </w:p>
    <w:p>
      <w:pPr>
        <w:adjustRightInd w:val="0"/>
        <w:snapToGrid w:val="0"/>
        <w:spacing w:line="300" w:lineRule="auto"/>
        <w:jc w:val="center"/>
        <w:rPr>
          <w:rFonts w:ascii="Times New Roman" w:eastAsia="方正小标宋简体"/>
          <w:color w:val="auto"/>
          <w:sz w:val="44"/>
          <w:szCs w:val="44"/>
        </w:rPr>
      </w:pPr>
      <w:r>
        <w:rPr>
          <w:rFonts w:ascii="Times New Roman" w:eastAsia="方正小标宋简体"/>
          <w:color w:val="auto"/>
          <w:sz w:val="44"/>
          <w:szCs w:val="44"/>
        </w:rPr>
        <w:t>生涯规划大赛的通知</w:t>
      </w:r>
    </w:p>
    <w:p>
      <w:pPr>
        <w:adjustRightInd w:val="0"/>
        <w:snapToGrid w:val="0"/>
        <w:spacing w:line="348" w:lineRule="auto"/>
        <w:rPr>
          <w:rFonts w:ascii="Times New Roman"/>
        </w:rPr>
      </w:pPr>
    </w:p>
    <w:p>
      <w:pPr>
        <w:adjustRightInd w:val="0"/>
        <w:snapToGrid w:val="0"/>
        <w:spacing w:line="348" w:lineRule="auto"/>
        <w:rPr>
          <w:rFonts w:ascii="Times New Roman"/>
          <w:kern w:val="0"/>
          <w:sz w:val="32"/>
          <w:szCs w:val="32"/>
        </w:rPr>
      </w:pPr>
      <w:r>
        <w:rPr>
          <w:rFonts w:ascii="Times New Roman"/>
          <w:kern w:val="0"/>
          <w:sz w:val="32"/>
          <w:szCs w:val="32"/>
        </w:rPr>
        <w:t>各学院</w:t>
      </w:r>
      <w:r>
        <w:rPr>
          <w:rFonts w:hint="eastAsia" w:ascii="Times New Roman"/>
          <w:kern w:val="0"/>
          <w:sz w:val="32"/>
          <w:szCs w:val="32"/>
        </w:rPr>
        <w:t>、有关部门</w:t>
      </w:r>
      <w:r>
        <w:rPr>
          <w:rFonts w:ascii="Times New Roman"/>
          <w:kern w:val="0"/>
          <w:sz w:val="32"/>
          <w:szCs w:val="32"/>
        </w:rPr>
        <w:t>：</w:t>
      </w:r>
    </w:p>
    <w:p>
      <w:pPr>
        <w:widowControl/>
        <w:shd w:val="clear" w:color="auto" w:fill="FFFFFF"/>
        <w:adjustRightInd w:val="0"/>
        <w:snapToGrid w:val="0"/>
        <w:spacing w:line="348" w:lineRule="auto"/>
        <w:ind w:firstLine="630" w:firstLineChars="200"/>
        <w:jc w:val="left"/>
        <w:rPr>
          <w:rFonts w:ascii="Times New Roman" w:eastAsia="宋体"/>
          <w:color w:val="333333"/>
          <w:kern w:val="0"/>
          <w:sz w:val="26"/>
          <w:szCs w:val="26"/>
        </w:rPr>
      </w:pPr>
      <w:r>
        <w:rPr>
          <w:rFonts w:ascii="Times New Roman"/>
          <w:kern w:val="0"/>
          <w:sz w:val="32"/>
          <w:szCs w:val="32"/>
        </w:rPr>
        <w:t>为</w:t>
      </w:r>
      <w:r>
        <w:rPr>
          <w:rFonts w:hint="eastAsia" w:ascii="Times New Roman"/>
          <w:kern w:val="0"/>
          <w:sz w:val="32"/>
          <w:szCs w:val="32"/>
        </w:rPr>
        <w:t>深入践行“就业育人”理念</w:t>
      </w:r>
      <w:r>
        <w:rPr>
          <w:rFonts w:ascii="Times New Roman"/>
          <w:kern w:val="0"/>
          <w:sz w:val="32"/>
          <w:szCs w:val="32"/>
        </w:rPr>
        <w:t>，</w:t>
      </w:r>
      <w:r>
        <w:rPr>
          <w:rFonts w:hint="eastAsia" w:ascii="Times New Roman"/>
          <w:kern w:val="0"/>
          <w:sz w:val="32"/>
          <w:szCs w:val="32"/>
        </w:rPr>
        <w:t>打造“就业思政”大课，增强大学生职业发展教育实效，引导大学生树立正确的人生观、价值观、就业观，提升大学生职业生涯规划的自觉意识和创新能力，根据《河南省教育厅等七部门关于举办2021年全省大学生职业划大赛的通知》（教学〔2021〕377号）精神，</w:t>
      </w:r>
      <w:r>
        <w:rPr>
          <w:rFonts w:ascii="Times New Roman"/>
          <w:kern w:val="0"/>
          <w:sz w:val="32"/>
          <w:szCs w:val="32"/>
        </w:rPr>
        <w:t>我校决定举办2021</w:t>
      </w:r>
      <w:r>
        <w:rPr>
          <w:rFonts w:ascii="Times New Roman"/>
          <w:color w:val="auto"/>
          <w:sz w:val="32"/>
          <w:szCs w:val="32"/>
        </w:rPr>
        <w:t>年大学生职业生涯</w:t>
      </w:r>
      <w:r>
        <w:rPr>
          <w:rFonts w:ascii="Times New Roman"/>
          <w:sz w:val="32"/>
          <w:szCs w:val="32"/>
        </w:rPr>
        <w:t>规划大赛。现将</w:t>
      </w:r>
      <w:r>
        <w:rPr>
          <w:rFonts w:hint="eastAsia" w:ascii="Times New Roman"/>
          <w:sz w:val="32"/>
          <w:szCs w:val="32"/>
        </w:rPr>
        <w:t>有关</w:t>
      </w:r>
      <w:r>
        <w:rPr>
          <w:rFonts w:ascii="Times New Roman"/>
          <w:sz w:val="32"/>
          <w:szCs w:val="32"/>
        </w:rPr>
        <w:t>事项通知如下</w:t>
      </w:r>
      <w:r>
        <w:rPr>
          <w:rFonts w:hint="eastAsia" w:ascii="Times New Roman"/>
          <w:sz w:val="32"/>
          <w:szCs w:val="32"/>
        </w:rPr>
        <w:t>，请遵照执行。</w:t>
      </w:r>
    </w:p>
    <w:p>
      <w:pPr>
        <w:adjustRightInd w:val="0"/>
        <w:snapToGrid w:val="0"/>
        <w:spacing w:line="348" w:lineRule="auto"/>
        <w:ind w:firstLine="630" w:firstLineChars="200"/>
        <w:rPr>
          <w:rFonts w:ascii="Times New Roman" w:eastAsia="黑体"/>
          <w:b/>
          <w:kern w:val="0"/>
          <w:sz w:val="32"/>
          <w:szCs w:val="32"/>
        </w:rPr>
      </w:pPr>
      <w:r>
        <w:rPr>
          <w:rFonts w:ascii="Times New Roman" w:hAnsi="黑体" w:eastAsia="黑体"/>
          <w:b/>
          <w:kern w:val="0"/>
          <w:sz w:val="32"/>
          <w:szCs w:val="32"/>
        </w:rPr>
        <w:t>一、大赛主题</w:t>
      </w:r>
    </w:p>
    <w:p>
      <w:pPr>
        <w:adjustRightInd w:val="0"/>
        <w:snapToGrid w:val="0"/>
        <w:spacing w:line="348" w:lineRule="auto"/>
        <w:ind w:firstLine="630" w:firstLineChars="200"/>
        <w:rPr>
          <w:rFonts w:ascii="Times New Roman"/>
          <w:kern w:val="0"/>
          <w:sz w:val="32"/>
          <w:szCs w:val="32"/>
        </w:rPr>
      </w:pPr>
      <w:r>
        <w:rPr>
          <w:rFonts w:ascii="Times New Roman"/>
          <w:kern w:val="0"/>
          <w:sz w:val="32"/>
          <w:szCs w:val="32"/>
        </w:rPr>
        <w:t>追梦青春</w:t>
      </w:r>
      <w:r>
        <w:rPr>
          <w:rFonts w:ascii="Times New Roman"/>
          <w:kern w:val="0"/>
          <w:sz w:val="28"/>
          <w:szCs w:val="28"/>
        </w:rPr>
        <w:t>·</w:t>
      </w:r>
      <w:r>
        <w:rPr>
          <w:rFonts w:ascii="Times New Roman"/>
          <w:kern w:val="0"/>
          <w:sz w:val="32"/>
          <w:szCs w:val="32"/>
        </w:rPr>
        <w:t>职击未来</w:t>
      </w:r>
    </w:p>
    <w:p>
      <w:pPr>
        <w:adjustRightInd w:val="0"/>
        <w:snapToGrid w:val="0"/>
        <w:spacing w:line="348" w:lineRule="auto"/>
        <w:ind w:firstLine="630" w:firstLineChars="200"/>
        <w:rPr>
          <w:rFonts w:ascii="Times New Roman" w:hAnsi="黑体" w:eastAsia="黑体"/>
          <w:b/>
          <w:kern w:val="0"/>
          <w:sz w:val="32"/>
          <w:szCs w:val="32"/>
        </w:rPr>
      </w:pPr>
      <w:r>
        <w:rPr>
          <w:rFonts w:ascii="Times New Roman" w:hAnsi="黑体" w:eastAsia="黑体"/>
          <w:b/>
          <w:kern w:val="0"/>
          <w:sz w:val="32"/>
          <w:szCs w:val="32"/>
        </w:rPr>
        <w:t>二、参赛对象</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河南理工大学全体在校学生，</w:t>
      </w:r>
      <w:r>
        <w:rPr>
          <w:rFonts w:hint="eastAsia" w:ascii="Times New Roman"/>
          <w:kern w:val="0"/>
          <w:sz w:val="32"/>
          <w:szCs w:val="32"/>
        </w:rPr>
        <w:t>其中获得 2020年全省大学生职业生涯规划大赛总决赛规划之星·金奖的选手，不再参加本次比赛。</w:t>
      </w:r>
    </w:p>
    <w:p>
      <w:pPr>
        <w:adjustRightInd w:val="0"/>
        <w:snapToGrid w:val="0"/>
        <w:spacing w:line="348" w:lineRule="auto"/>
        <w:ind w:firstLine="630" w:firstLineChars="200"/>
        <w:rPr>
          <w:rFonts w:ascii="Times New Roman" w:hAnsi="黑体" w:eastAsia="黑体"/>
          <w:b/>
          <w:kern w:val="0"/>
          <w:sz w:val="32"/>
          <w:szCs w:val="32"/>
        </w:rPr>
      </w:pPr>
      <w:r>
        <w:rPr>
          <w:rFonts w:ascii="Times New Roman" w:hAnsi="黑体" w:eastAsia="黑体"/>
          <w:b/>
          <w:kern w:val="0"/>
          <w:sz w:val="32"/>
          <w:szCs w:val="32"/>
        </w:rPr>
        <w:t>三、</w:t>
      </w:r>
      <w:r>
        <w:rPr>
          <w:rFonts w:hint="eastAsia" w:ascii="Times New Roman" w:hAnsi="黑体" w:eastAsia="黑体"/>
          <w:b/>
          <w:kern w:val="0"/>
          <w:sz w:val="32"/>
          <w:szCs w:val="32"/>
        </w:rPr>
        <w:t>赛事</w:t>
      </w:r>
      <w:r>
        <w:rPr>
          <w:rFonts w:ascii="Times New Roman" w:hAnsi="黑体" w:eastAsia="黑体"/>
          <w:b/>
          <w:kern w:val="0"/>
          <w:sz w:val="32"/>
          <w:szCs w:val="32"/>
        </w:rPr>
        <w:t>安排</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hint="eastAsia" w:ascii="Times New Roman"/>
          <w:kern w:val="0"/>
          <w:sz w:val="32"/>
          <w:szCs w:val="32"/>
        </w:rPr>
        <w:t>学校成立以分管学生就业工作的校领导为组长，招就处、宣传部、学生处、校团委、教务处、研究生院以及各教学学院负责人等为成员的河南理工大学大学生职业生涯规划大赛领导小组，指导赛事工作安排。</w:t>
      </w:r>
      <w:r>
        <w:rPr>
          <w:rFonts w:ascii="Times New Roman"/>
          <w:kern w:val="0"/>
          <w:sz w:val="32"/>
          <w:szCs w:val="32"/>
        </w:rPr>
        <w:t>本次比赛分为学院初赛和全校决赛两个阶段，比赛内容包括书面作品评审、现场比赛两个环节。具体《比赛规则》见附件1。</w:t>
      </w:r>
    </w:p>
    <w:p>
      <w:pPr>
        <w:widowControl/>
        <w:shd w:val="clear" w:color="auto" w:fill="FFFFFF"/>
        <w:adjustRightInd w:val="0"/>
        <w:snapToGrid w:val="0"/>
        <w:spacing w:line="348" w:lineRule="auto"/>
        <w:ind w:firstLine="630" w:firstLineChars="200"/>
        <w:jc w:val="left"/>
        <w:rPr>
          <w:rFonts w:ascii="楷体" w:hAnsi="楷体" w:eastAsia="楷体"/>
          <w:b/>
          <w:kern w:val="0"/>
          <w:sz w:val="32"/>
          <w:szCs w:val="32"/>
        </w:rPr>
      </w:pPr>
      <w:r>
        <w:rPr>
          <w:rFonts w:ascii="楷体" w:hAnsi="楷体" w:eastAsia="楷体"/>
          <w:b/>
          <w:kern w:val="0"/>
          <w:sz w:val="32"/>
          <w:szCs w:val="32"/>
        </w:rPr>
        <w:t>（一）学院初赛</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初赛由学院自行组织，比赛形式和内容可以灵活化，但需达到以下要求：</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1．各学院要广泛宣传动员广大学生进行职业生涯规划</w:t>
      </w:r>
      <w:r>
        <w:rPr>
          <w:rFonts w:hint="eastAsia" w:ascii="Times New Roman"/>
          <w:kern w:val="0"/>
          <w:sz w:val="32"/>
          <w:szCs w:val="32"/>
        </w:rPr>
        <w:t>设计，</w:t>
      </w:r>
      <w:r>
        <w:rPr>
          <w:rFonts w:ascii="Times New Roman"/>
          <w:kern w:val="0"/>
          <w:sz w:val="32"/>
          <w:szCs w:val="32"/>
        </w:rPr>
        <w:t>组织实施好学院初赛，1</w:t>
      </w:r>
      <w:r>
        <w:rPr>
          <w:rFonts w:hint="eastAsia" w:ascii="Times New Roman"/>
          <w:kern w:val="0"/>
          <w:sz w:val="32"/>
          <w:szCs w:val="32"/>
        </w:rPr>
        <w:t>1</w:t>
      </w:r>
      <w:r>
        <w:rPr>
          <w:rFonts w:ascii="Times New Roman"/>
          <w:kern w:val="0"/>
          <w:sz w:val="32"/>
          <w:szCs w:val="32"/>
        </w:rPr>
        <w:t>月</w:t>
      </w:r>
      <w:r>
        <w:rPr>
          <w:rFonts w:hint="eastAsia" w:ascii="Times New Roman"/>
          <w:kern w:val="0"/>
          <w:sz w:val="32"/>
          <w:szCs w:val="32"/>
        </w:rPr>
        <w:t>7</w:t>
      </w:r>
      <w:r>
        <w:rPr>
          <w:rFonts w:ascii="Times New Roman"/>
          <w:kern w:val="0"/>
          <w:sz w:val="32"/>
          <w:szCs w:val="32"/>
        </w:rPr>
        <w:t>日前完成。</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2．初赛环节设计上应包含书面作品和现场比赛。参赛选手需提交《职业生涯规划书》和《职业生涯人物访谈报告》</w:t>
      </w:r>
      <w:r>
        <w:rPr>
          <w:rFonts w:hint="eastAsia" w:ascii="Times New Roman"/>
          <w:kern w:val="0"/>
          <w:sz w:val="32"/>
          <w:szCs w:val="32"/>
        </w:rPr>
        <w:t>等材料</w:t>
      </w:r>
      <w:r>
        <w:rPr>
          <w:rFonts w:ascii="Times New Roman"/>
          <w:kern w:val="0"/>
          <w:sz w:val="32"/>
          <w:szCs w:val="32"/>
        </w:rPr>
        <w:t>（要求见附件1），现场比赛形式和环节可参考全校决赛赛制。</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3．各学院</w:t>
      </w:r>
      <w:r>
        <w:rPr>
          <w:rFonts w:hint="eastAsia" w:ascii="Times New Roman"/>
          <w:kern w:val="0"/>
          <w:sz w:val="32"/>
          <w:szCs w:val="32"/>
        </w:rPr>
        <w:t>要</w:t>
      </w:r>
      <w:r>
        <w:rPr>
          <w:rFonts w:ascii="Times New Roman"/>
          <w:kern w:val="0"/>
          <w:sz w:val="32"/>
          <w:szCs w:val="32"/>
        </w:rPr>
        <w:t>及时总结比赛开展情况，总结内容包括：报名人数、作品提交数量、比赛组织情况及比赛结果等，</w:t>
      </w:r>
      <w:r>
        <w:rPr>
          <w:rFonts w:hint="eastAsia" w:ascii="Times New Roman"/>
          <w:kern w:val="0"/>
          <w:sz w:val="32"/>
          <w:szCs w:val="32"/>
        </w:rPr>
        <w:t>并请</w:t>
      </w:r>
      <w:r>
        <w:rPr>
          <w:rFonts w:ascii="Times New Roman"/>
          <w:kern w:val="0"/>
          <w:sz w:val="32"/>
          <w:szCs w:val="32"/>
        </w:rPr>
        <w:t>于11月</w:t>
      </w:r>
      <w:r>
        <w:rPr>
          <w:rFonts w:hint="eastAsia" w:ascii="Times New Roman"/>
          <w:kern w:val="0"/>
          <w:sz w:val="32"/>
          <w:szCs w:val="32"/>
        </w:rPr>
        <w:t>8</w:t>
      </w:r>
      <w:r>
        <w:rPr>
          <w:rFonts w:ascii="Times New Roman"/>
          <w:kern w:val="0"/>
          <w:sz w:val="32"/>
          <w:szCs w:val="32"/>
        </w:rPr>
        <w:t>日</w:t>
      </w:r>
      <w:r>
        <w:rPr>
          <w:rFonts w:hint="eastAsia" w:ascii="Times New Roman"/>
          <w:kern w:val="0"/>
          <w:sz w:val="32"/>
          <w:szCs w:val="32"/>
        </w:rPr>
        <w:t>下午下班前</w:t>
      </w:r>
      <w:r>
        <w:rPr>
          <w:rFonts w:ascii="Times New Roman"/>
          <w:kern w:val="0"/>
          <w:sz w:val="32"/>
          <w:szCs w:val="32"/>
        </w:rPr>
        <w:t>将</w:t>
      </w:r>
      <w:r>
        <w:rPr>
          <w:rFonts w:hint="eastAsia" w:ascii="Times New Roman"/>
          <w:kern w:val="0"/>
          <w:sz w:val="32"/>
          <w:szCs w:val="32"/>
        </w:rPr>
        <w:t>赛事</w:t>
      </w:r>
      <w:r>
        <w:rPr>
          <w:rFonts w:ascii="Times New Roman"/>
          <w:kern w:val="0"/>
          <w:sz w:val="32"/>
          <w:szCs w:val="32"/>
        </w:rPr>
        <w:t>总结发至邮箱zjyhpu@hpu.</w:t>
      </w:r>
      <w:r>
        <w:rPr>
          <w:rFonts w:hint="eastAsia" w:ascii="Times New Roman"/>
          <w:kern w:val="0"/>
          <w:sz w:val="32"/>
          <w:szCs w:val="32"/>
        </w:rPr>
        <w:t>edu.</w:t>
      </w:r>
      <w:r>
        <w:rPr>
          <w:rFonts w:ascii="Times New Roman"/>
          <w:kern w:val="0"/>
          <w:sz w:val="32"/>
          <w:szCs w:val="32"/>
        </w:rPr>
        <w:t>cn，</w:t>
      </w:r>
      <w:r>
        <w:rPr>
          <w:rFonts w:hint="eastAsia" w:ascii="Times New Roman"/>
          <w:kern w:val="0"/>
          <w:sz w:val="32"/>
          <w:szCs w:val="32"/>
        </w:rPr>
        <w:t>同时请</w:t>
      </w:r>
      <w:r>
        <w:rPr>
          <w:rFonts w:ascii="Times New Roman"/>
          <w:kern w:val="0"/>
          <w:sz w:val="32"/>
          <w:szCs w:val="32"/>
        </w:rPr>
        <w:t>提供比赛照片3-5张。</w:t>
      </w:r>
    </w:p>
    <w:p>
      <w:pPr>
        <w:widowControl/>
        <w:shd w:val="clear" w:color="auto" w:fill="FFFFFF"/>
        <w:adjustRightInd w:val="0"/>
        <w:snapToGrid w:val="0"/>
        <w:spacing w:line="348" w:lineRule="auto"/>
        <w:ind w:firstLine="630" w:firstLineChars="200"/>
        <w:jc w:val="left"/>
        <w:rPr>
          <w:rFonts w:ascii="楷体" w:hAnsi="楷体" w:eastAsia="楷体"/>
          <w:b/>
          <w:kern w:val="0"/>
          <w:sz w:val="32"/>
          <w:szCs w:val="32"/>
        </w:rPr>
      </w:pPr>
      <w:r>
        <w:rPr>
          <w:rFonts w:ascii="楷体" w:hAnsi="楷体" w:eastAsia="楷体"/>
          <w:b/>
          <w:kern w:val="0"/>
          <w:sz w:val="32"/>
          <w:szCs w:val="32"/>
        </w:rPr>
        <w:t>（二）全校决赛</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1．时间安排：11月1</w:t>
      </w:r>
      <w:r>
        <w:rPr>
          <w:rFonts w:hint="eastAsia" w:ascii="Times New Roman"/>
          <w:kern w:val="0"/>
          <w:sz w:val="32"/>
          <w:szCs w:val="32"/>
        </w:rPr>
        <w:t>3日-11月14</w:t>
      </w:r>
      <w:r>
        <w:rPr>
          <w:rFonts w:ascii="Times New Roman"/>
          <w:kern w:val="0"/>
          <w:sz w:val="32"/>
          <w:szCs w:val="32"/>
        </w:rPr>
        <w:t>日（具体事宜在大赛交流群通知）</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2．参赛对象：各学院根据初赛评比结果，择优推荐1-3名优秀学生参加全校决赛。</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3．参赛要求：各学院要将</w:t>
      </w:r>
      <w:r>
        <w:rPr>
          <w:rFonts w:hint="eastAsia" w:ascii="Times New Roman"/>
          <w:kern w:val="0"/>
          <w:sz w:val="32"/>
          <w:szCs w:val="32"/>
        </w:rPr>
        <w:t>推荐</w:t>
      </w:r>
      <w:r>
        <w:rPr>
          <w:rFonts w:ascii="Times New Roman"/>
          <w:kern w:val="0"/>
          <w:sz w:val="32"/>
          <w:szCs w:val="32"/>
        </w:rPr>
        <w:t>参加决赛学生的《职业生涯规划书》和《生涯人物访谈报告》</w:t>
      </w:r>
      <w:r>
        <w:rPr>
          <w:rFonts w:hint="eastAsia" w:ascii="Times New Roman"/>
          <w:kern w:val="0"/>
          <w:sz w:val="32"/>
          <w:szCs w:val="32"/>
        </w:rPr>
        <w:t>（访谈报告作为规划书的附件）</w:t>
      </w:r>
      <w:r>
        <w:rPr>
          <w:rFonts w:ascii="Times New Roman"/>
          <w:kern w:val="0"/>
          <w:sz w:val="32"/>
          <w:szCs w:val="32"/>
        </w:rPr>
        <w:t>、PPT</w:t>
      </w:r>
      <w:r>
        <w:rPr>
          <w:rFonts w:hint="eastAsia" w:ascii="Times New Roman"/>
          <w:kern w:val="0"/>
          <w:sz w:val="32"/>
          <w:szCs w:val="32"/>
        </w:rPr>
        <w:t>、</w:t>
      </w:r>
      <w:r>
        <w:rPr>
          <w:rFonts w:ascii="Times New Roman"/>
          <w:kern w:val="0"/>
          <w:sz w:val="32"/>
          <w:szCs w:val="32"/>
        </w:rPr>
        <w:t>《河南理工大学2021年</w:t>
      </w:r>
      <w:r>
        <w:rPr>
          <w:rFonts w:hint="eastAsia" w:ascii="Times New Roman"/>
          <w:kern w:val="0"/>
          <w:sz w:val="32"/>
          <w:szCs w:val="32"/>
        </w:rPr>
        <w:t>大学生</w:t>
      </w:r>
      <w:r>
        <w:rPr>
          <w:rFonts w:ascii="Times New Roman"/>
          <w:kern w:val="0"/>
          <w:sz w:val="32"/>
          <w:szCs w:val="32"/>
        </w:rPr>
        <w:t>职业</w:t>
      </w:r>
      <w:r>
        <w:rPr>
          <w:rFonts w:hint="eastAsia" w:ascii="Times New Roman"/>
          <w:kern w:val="0"/>
          <w:sz w:val="32"/>
          <w:szCs w:val="32"/>
        </w:rPr>
        <w:t>生涯</w:t>
      </w:r>
      <w:r>
        <w:rPr>
          <w:rFonts w:ascii="Times New Roman"/>
          <w:kern w:val="0"/>
          <w:sz w:val="32"/>
          <w:szCs w:val="32"/>
        </w:rPr>
        <w:t>规划大赛各学院晋级决赛选手名单》（附件2）等材料</w:t>
      </w:r>
      <w:r>
        <w:rPr>
          <w:rFonts w:hint="eastAsia" w:ascii="Times New Roman"/>
          <w:kern w:val="0"/>
          <w:sz w:val="32"/>
          <w:szCs w:val="32"/>
        </w:rPr>
        <w:t>的电子版（学生作品命名：</w:t>
      </w:r>
      <w:r>
        <w:rPr>
          <w:rFonts w:ascii="Times New Roman"/>
          <w:kern w:val="0"/>
          <w:sz w:val="32"/>
          <w:szCs w:val="32"/>
        </w:rPr>
        <w:t>学院+选手</w:t>
      </w:r>
      <w:r>
        <w:rPr>
          <w:rFonts w:hint="eastAsia" w:ascii="Times New Roman"/>
          <w:kern w:val="0"/>
          <w:sz w:val="32"/>
          <w:szCs w:val="32"/>
        </w:rPr>
        <w:t>姓名）</w:t>
      </w:r>
      <w:r>
        <w:rPr>
          <w:rFonts w:ascii="Times New Roman"/>
          <w:kern w:val="0"/>
          <w:sz w:val="32"/>
          <w:szCs w:val="32"/>
        </w:rPr>
        <w:t>发至邮箱zjyhpu@hpu.</w:t>
      </w:r>
      <w:r>
        <w:rPr>
          <w:rFonts w:hint="eastAsia" w:ascii="Times New Roman"/>
          <w:kern w:val="0"/>
          <w:sz w:val="32"/>
          <w:szCs w:val="32"/>
        </w:rPr>
        <w:t>edu.</w:t>
      </w:r>
      <w:r>
        <w:rPr>
          <w:rFonts w:ascii="Times New Roman"/>
          <w:kern w:val="0"/>
          <w:sz w:val="32"/>
          <w:szCs w:val="32"/>
        </w:rPr>
        <w:t>cn</w:t>
      </w:r>
      <w:r>
        <w:rPr>
          <w:rFonts w:hint="eastAsia" w:ascii="Times New Roman"/>
          <w:kern w:val="0"/>
          <w:sz w:val="32"/>
          <w:szCs w:val="32"/>
        </w:rPr>
        <w:t>；</w:t>
      </w:r>
      <w:r>
        <w:rPr>
          <w:rFonts w:ascii="Times New Roman"/>
          <w:kern w:val="0"/>
          <w:sz w:val="32"/>
          <w:szCs w:val="32"/>
        </w:rPr>
        <w:t>纸质版</w:t>
      </w:r>
      <w:r>
        <w:rPr>
          <w:rFonts w:hint="eastAsia" w:ascii="Times New Roman"/>
          <w:kern w:val="0"/>
          <w:sz w:val="32"/>
          <w:szCs w:val="32"/>
        </w:rPr>
        <w:t>（PPT除外）</w:t>
      </w:r>
      <w:r>
        <w:rPr>
          <w:rFonts w:ascii="Times New Roman"/>
          <w:kern w:val="0"/>
          <w:sz w:val="32"/>
          <w:szCs w:val="32"/>
        </w:rPr>
        <w:t>于11月</w:t>
      </w:r>
      <w:r>
        <w:rPr>
          <w:rFonts w:hint="eastAsia" w:ascii="Times New Roman"/>
          <w:kern w:val="0"/>
          <w:sz w:val="32"/>
          <w:szCs w:val="32"/>
        </w:rPr>
        <w:t>8</w:t>
      </w:r>
      <w:r>
        <w:rPr>
          <w:rFonts w:ascii="Times New Roman"/>
          <w:kern w:val="0"/>
          <w:sz w:val="32"/>
          <w:szCs w:val="32"/>
        </w:rPr>
        <w:t>日</w:t>
      </w:r>
      <w:r>
        <w:rPr>
          <w:rFonts w:hint="eastAsia" w:ascii="Times New Roman"/>
          <w:kern w:val="0"/>
          <w:sz w:val="32"/>
          <w:szCs w:val="32"/>
        </w:rPr>
        <w:t>下午下班</w:t>
      </w:r>
      <w:r>
        <w:rPr>
          <w:rFonts w:ascii="Times New Roman"/>
          <w:kern w:val="0"/>
          <w:sz w:val="32"/>
          <w:szCs w:val="32"/>
        </w:rPr>
        <w:t>前交至大学生活动中心205（注：《职业生涯规划书》</w:t>
      </w:r>
      <w:r>
        <w:rPr>
          <w:rFonts w:hint="eastAsia" w:ascii="Times New Roman"/>
          <w:kern w:val="0"/>
          <w:sz w:val="32"/>
          <w:szCs w:val="32"/>
        </w:rPr>
        <w:t>含</w:t>
      </w:r>
      <w:r>
        <w:rPr>
          <w:rFonts w:ascii="Times New Roman"/>
          <w:kern w:val="0"/>
          <w:sz w:val="32"/>
          <w:szCs w:val="32"/>
        </w:rPr>
        <w:t>《职业生涯人物访谈报告》一式</w:t>
      </w:r>
      <w:r>
        <w:rPr>
          <w:rFonts w:hint="eastAsia" w:ascii="Times New Roman"/>
          <w:kern w:val="0"/>
          <w:sz w:val="32"/>
          <w:szCs w:val="32"/>
        </w:rPr>
        <w:t>7</w:t>
      </w:r>
      <w:r>
        <w:rPr>
          <w:rFonts w:ascii="Times New Roman"/>
          <w:kern w:val="0"/>
          <w:sz w:val="32"/>
          <w:szCs w:val="32"/>
        </w:rPr>
        <w:t>份双面打印</w:t>
      </w:r>
      <w:r>
        <w:rPr>
          <w:rFonts w:hint="eastAsia" w:ascii="Times New Roman"/>
          <w:kern w:val="0"/>
          <w:sz w:val="32"/>
          <w:szCs w:val="32"/>
        </w:rPr>
        <w:t>,</w:t>
      </w:r>
      <w:r>
        <w:rPr>
          <w:rFonts w:ascii="Times New Roman"/>
          <w:kern w:val="0"/>
          <w:sz w:val="32"/>
          <w:szCs w:val="32"/>
        </w:rPr>
        <w:t xml:space="preserve"> </w:t>
      </w:r>
      <w:r>
        <w:rPr>
          <w:rFonts w:hint="eastAsia" w:ascii="Times New Roman"/>
          <w:kern w:val="0"/>
          <w:sz w:val="32"/>
          <w:szCs w:val="32"/>
        </w:rPr>
        <w:t>《</w:t>
      </w:r>
      <w:r>
        <w:rPr>
          <w:rFonts w:ascii="Times New Roman"/>
          <w:kern w:val="0"/>
          <w:sz w:val="32"/>
          <w:szCs w:val="32"/>
        </w:rPr>
        <w:t>晋级决赛选手名单</w:t>
      </w:r>
      <w:r>
        <w:rPr>
          <w:rFonts w:hint="eastAsia" w:ascii="Times New Roman"/>
          <w:kern w:val="0"/>
          <w:sz w:val="32"/>
          <w:szCs w:val="32"/>
        </w:rPr>
        <w:t>》一式1份</w:t>
      </w:r>
      <w:r>
        <w:rPr>
          <w:rFonts w:ascii="Times New Roman"/>
          <w:kern w:val="0"/>
          <w:sz w:val="32"/>
          <w:szCs w:val="32"/>
        </w:rPr>
        <w:t>）</w:t>
      </w:r>
      <w:r>
        <w:rPr>
          <w:rFonts w:hint="eastAsia" w:ascii="Times New Roman"/>
          <w:kern w:val="0"/>
          <w:sz w:val="32"/>
          <w:szCs w:val="32"/>
        </w:rPr>
        <w:t>。</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4．决赛形式：</w:t>
      </w:r>
      <w:r>
        <w:rPr>
          <w:rFonts w:hint="eastAsia" w:ascii="Times New Roman"/>
          <w:kern w:val="0"/>
          <w:sz w:val="32"/>
          <w:szCs w:val="32"/>
        </w:rPr>
        <w:t>学校</w:t>
      </w:r>
      <w:r>
        <w:rPr>
          <w:rFonts w:ascii="Times New Roman"/>
          <w:kern w:val="0"/>
          <w:sz w:val="32"/>
          <w:szCs w:val="32"/>
        </w:rPr>
        <w:t>组织评委对参赛选手的书面作品进行评审打分，</w:t>
      </w:r>
      <w:r>
        <w:rPr>
          <w:rFonts w:hint="eastAsia" w:ascii="Times New Roman"/>
          <w:kern w:val="0"/>
          <w:sz w:val="32"/>
          <w:szCs w:val="32"/>
        </w:rPr>
        <w:t>遴选部分优秀作品</w:t>
      </w:r>
      <w:r>
        <w:rPr>
          <w:rFonts w:ascii="Times New Roman"/>
          <w:kern w:val="0"/>
          <w:sz w:val="32"/>
          <w:szCs w:val="32"/>
        </w:rPr>
        <w:t>再进行现场PPT展示、职业角色情景模拟、现场答辩的评比打分</w:t>
      </w:r>
      <w:r>
        <w:rPr>
          <w:rFonts w:hint="eastAsia" w:ascii="Times New Roman"/>
          <w:kern w:val="0"/>
          <w:sz w:val="32"/>
          <w:szCs w:val="32"/>
        </w:rPr>
        <w:t>，</w:t>
      </w:r>
      <w:r>
        <w:rPr>
          <w:rFonts w:ascii="Times New Roman"/>
          <w:kern w:val="0"/>
          <w:sz w:val="32"/>
          <w:szCs w:val="32"/>
        </w:rPr>
        <w:t>具体评审标准见附件3。</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5．</w:t>
      </w:r>
      <w:r>
        <w:rPr>
          <w:rFonts w:hint="eastAsia" w:ascii="Times New Roman"/>
          <w:kern w:val="0"/>
          <w:sz w:val="32"/>
          <w:szCs w:val="32"/>
        </w:rPr>
        <w:t>推荐参加豫北分赛区</w:t>
      </w:r>
      <w:r>
        <w:rPr>
          <w:rFonts w:ascii="Times New Roman"/>
          <w:kern w:val="0"/>
          <w:sz w:val="32"/>
          <w:szCs w:val="32"/>
        </w:rPr>
        <w:t>复赛：</w:t>
      </w:r>
      <w:r>
        <w:rPr>
          <w:rFonts w:hint="eastAsia" w:ascii="Times New Roman"/>
          <w:kern w:val="0"/>
          <w:sz w:val="32"/>
          <w:szCs w:val="32"/>
        </w:rPr>
        <w:t>学校</w:t>
      </w:r>
      <w:r>
        <w:rPr>
          <w:rFonts w:ascii="Times New Roman"/>
          <w:kern w:val="0"/>
          <w:sz w:val="32"/>
          <w:szCs w:val="32"/>
        </w:rPr>
        <w:t>综合</w:t>
      </w:r>
      <w:r>
        <w:rPr>
          <w:rFonts w:hint="eastAsia" w:ascii="Times New Roman"/>
          <w:kern w:val="0"/>
          <w:sz w:val="32"/>
          <w:szCs w:val="32"/>
        </w:rPr>
        <w:t>考量</w:t>
      </w:r>
      <w:r>
        <w:rPr>
          <w:rFonts w:ascii="Times New Roman"/>
          <w:kern w:val="0"/>
          <w:sz w:val="32"/>
          <w:szCs w:val="32"/>
        </w:rPr>
        <w:t>选手决赛表现和参赛作品质量，推荐</w:t>
      </w:r>
      <w:r>
        <w:rPr>
          <w:rFonts w:hint="eastAsia" w:ascii="Times New Roman"/>
          <w:kern w:val="0"/>
          <w:sz w:val="32"/>
          <w:szCs w:val="32"/>
        </w:rPr>
        <w:t>7名</w:t>
      </w:r>
      <w:r>
        <w:rPr>
          <w:rFonts w:ascii="Times New Roman"/>
          <w:kern w:val="0"/>
          <w:sz w:val="32"/>
          <w:szCs w:val="32"/>
        </w:rPr>
        <w:t>选手参加</w:t>
      </w:r>
      <w:r>
        <w:rPr>
          <w:rFonts w:hint="eastAsia" w:ascii="Times New Roman"/>
          <w:kern w:val="0"/>
          <w:sz w:val="32"/>
          <w:szCs w:val="32"/>
        </w:rPr>
        <w:t>豫北分赛区</w:t>
      </w:r>
      <w:r>
        <w:rPr>
          <w:rFonts w:ascii="Times New Roman"/>
          <w:kern w:val="0"/>
          <w:sz w:val="32"/>
          <w:szCs w:val="32"/>
        </w:rPr>
        <w:t>复赛。</w:t>
      </w:r>
      <w:r>
        <w:rPr>
          <w:rFonts w:hint="eastAsia" w:ascii="Times New Roman"/>
          <w:kern w:val="0"/>
          <w:sz w:val="32"/>
          <w:szCs w:val="32"/>
        </w:rPr>
        <w:t>豫北分赛区</w:t>
      </w:r>
      <w:r>
        <w:rPr>
          <w:rFonts w:ascii="Times New Roman"/>
          <w:kern w:val="0"/>
          <w:sz w:val="32"/>
          <w:szCs w:val="32"/>
        </w:rPr>
        <w:t>复赛</w:t>
      </w:r>
      <w:r>
        <w:rPr>
          <w:rFonts w:hint="eastAsia" w:ascii="Times New Roman"/>
          <w:kern w:val="0"/>
          <w:sz w:val="32"/>
          <w:szCs w:val="32"/>
        </w:rPr>
        <w:t>及全省总决赛要求见附件4。</w:t>
      </w:r>
    </w:p>
    <w:p>
      <w:pPr>
        <w:adjustRightInd w:val="0"/>
        <w:snapToGrid w:val="0"/>
        <w:spacing w:line="348" w:lineRule="auto"/>
        <w:ind w:firstLine="630" w:firstLineChars="200"/>
        <w:rPr>
          <w:rFonts w:ascii="Times New Roman" w:hAnsi="黑体" w:eastAsia="黑体"/>
          <w:b/>
          <w:kern w:val="0"/>
          <w:sz w:val="32"/>
          <w:szCs w:val="32"/>
        </w:rPr>
      </w:pPr>
      <w:r>
        <w:rPr>
          <w:rFonts w:ascii="Times New Roman" w:hAnsi="黑体" w:eastAsia="黑体"/>
          <w:b/>
          <w:kern w:val="0"/>
          <w:sz w:val="32"/>
          <w:szCs w:val="32"/>
        </w:rPr>
        <w:t>四、奖项设置</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ascii="Times New Roman"/>
          <w:kern w:val="0"/>
          <w:sz w:val="32"/>
          <w:szCs w:val="32"/>
        </w:rPr>
        <w:t>本次大赛</w:t>
      </w:r>
      <w:r>
        <w:rPr>
          <w:rFonts w:hint="eastAsia" w:ascii="Times New Roman"/>
          <w:kern w:val="0"/>
          <w:sz w:val="32"/>
          <w:szCs w:val="32"/>
        </w:rPr>
        <w:t>学校决赛</w:t>
      </w:r>
      <w:r>
        <w:rPr>
          <w:rFonts w:ascii="Times New Roman"/>
          <w:kern w:val="0"/>
          <w:sz w:val="32"/>
          <w:szCs w:val="32"/>
        </w:rPr>
        <w:t>设一等奖</w:t>
      </w:r>
      <w:r>
        <w:rPr>
          <w:rFonts w:hint="eastAsia" w:ascii="Times New Roman"/>
          <w:kern w:val="0"/>
          <w:sz w:val="32"/>
          <w:szCs w:val="32"/>
        </w:rPr>
        <w:t>7</w:t>
      </w:r>
      <w:r>
        <w:rPr>
          <w:rFonts w:ascii="Times New Roman"/>
          <w:kern w:val="0"/>
          <w:sz w:val="32"/>
          <w:szCs w:val="32"/>
        </w:rPr>
        <w:t>名、二等奖</w:t>
      </w:r>
      <w:r>
        <w:rPr>
          <w:rFonts w:hint="eastAsia" w:ascii="Times New Roman"/>
          <w:kern w:val="0"/>
          <w:sz w:val="32"/>
          <w:szCs w:val="32"/>
        </w:rPr>
        <w:t>15</w:t>
      </w:r>
      <w:r>
        <w:rPr>
          <w:rFonts w:ascii="Times New Roman"/>
          <w:kern w:val="0"/>
          <w:sz w:val="32"/>
          <w:szCs w:val="32"/>
        </w:rPr>
        <w:t>名、三等奖</w:t>
      </w:r>
      <w:r>
        <w:rPr>
          <w:rFonts w:hint="eastAsia" w:ascii="Times New Roman"/>
          <w:kern w:val="0"/>
          <w:sz w:val="32"/>
          <w:szCs w:val="32"/>
        </w:rPr>
        <w:t>20</w:t>
      </w:r>
      <w:r>
        <w:rPr>
          <w:rFonts w:ascii="Times New Roman"/>
          <w:kern w:val="0"/>
          <w:sz w:val="32"/>
          <w:szCs w:val="32"/>
        </w:rPr>
        <w:t>名和优秀奖若干名。</w:t>
      </w:r>
      <w:r>
        <w:rPr>
          <w:rFonts w:hint="eastAsia" w:ascii="Times New Roman"/>
          <w:kern w:val="0"/>
          <w:sz w:val="32"/>
          <w:szCs w:val="32"/>
        </w:rPr>
        <w:t>学校还将</w:t>
      </w:r>
      <w:r>
        <w:rPr>
          <w:rFonts w:ascii="Times New Roman"/>
          <w:kern w:val="0"/>
          <w:sz w:val="32"/>
          <w:szCs w:val="32"/>
        </w:rPr>
        <w:t>根据各学院初赛组织情况、</w:t>
      </w:r>
      <w:r>
        <w:rPr>
          <w:rFonts w:hint="eastAsia" w:ascii="Times New Roman"/>
          <w:kern w:val="0"/>
          <w:sz w:val="32"/>
          <w:szCs w:val="32"/>
        </w:rPr>
        <w:t>学生</w:t>
      </w:r>
      <w:r>
        <w:rPr>
          <w:rFonts w:ascii="Times New Roman"/>
          <w:kern w:val="0"/>
          <w:sz w:val="32"/>
          <w:szCs w:val="32"/>
        </w:rPr>
        <w:t>提交作品</w:t>
      </w:r>
      <w:r>
        <w:rPr>
          <w:rFonts w:hint="eastAsia" w:ascii="Times New Roman"/>
          <w:kern w:val="0"/>
          <w:sz w:val="32"/>
          <w:szCs w:val="32"/>
        </w:rPr>
        <w:t>质量、决赛</w:t>
      </w:r>
      <w:r>
        <w:rPr>
          <w:rFonts w:ascii="Times New Roman"/>
          <w:kern w:val="0"/>
          <w:sz w:val="32"/>
          <w:szCs w:val="32"/>
        </w:rPr>
        <w:t>成绩等</w:t>
      </w:r>
      <w:r>
        <w:rPr>
          <w:rFonts w:hint="eastAsia" w:ascii="Times New Roman"/>
          <w:kern w:val="0"/>
          <w:sz w:val="32"/>
          <w:szCs w:val="32"/>
        </w:rPr>
        <w:t>情况</w:t>
      </w:r>
      <w:r>
        <w:rPr>
          <w:rFonts w:ascii="Times New Roman"/>
          <w:kern w:val="0"/>
          <w:sz w:val="32"/>
          <w:szCs w:val="32"/>
        </w:rPr>
        <w:t>，评选出优秀组织奖</w:t>
      </w:r>
      <w:r>
        <w:rPr>
          <w:rFonts w:hint="eastAsia" w:ascii="Times New Roman"/>
          <w:kern w:val="0"/>
          <w:sz w:val="32"/>
          <w:szCs w:val="32"/>
        </w:rPr>
        <w:t>和</w:t>
      </w:r>
      <w:r>
        <w:rPr>
          <w:rFonts w:ascii="Times New Roman"/>
          <w:kern w:val="0"/>
          <w:sz w:val="32"/>
          <w:szCs w:val="32"/>
        </w:rPr>
        <w:t>优秀指导教师</w:t>
      </w:r>
      <w:r>
        <w:rPr>
          <w:rFonts w:hint="eastAsia" w:ascii="Times New Roman"/>
          <w:kern w:val="0"/>
          <w:sz w:val="32"/>
          <w:szCs w:val="32"/>
        </w:rPr>
        <w:t>若干，并发文公布比赛评选结果，颁发荣誉证书及相应奖励。</w:t>
      </w:r>
    </w:p>
    <w:p>
      <w:pPr>
        <w:adjustRightInd w:val="0"/>
        <w:snapToGrid w:val="0"/>
        <w:spacing w:line="348" w:lineRule="auto"/>
        <w:ind w:firstLine="630" w:firstLineChars="200"/>
        <w:rPr>
          <w:rFonts w:ascii="Times New Roman" w:hAnsi="黑体" w:eastAsia="黑体"/>
          <w:b/>
          <w:kern w:val="0"/>
          <w:sz w:val="32"/>
          <w:szCs w:val="32"/>
        </w:rPr>
      </w:pPr>
      <w:r>
        <w:rPr>
          <w:rFonts w:ascii="Times New Roman" w:hAnsi="黑体" w:eastAsia="黑体"/>
          <w:b/>
          <w:kern w:val="0"/>
          <w:sz w:val="32"/>
          <w:szCs w:val="32"/>
        </w:rPr>
        <w:t>五、</w:t>
      </w:r>
      <w:r>
        <w:rPr>
          <w:rFonts w:hint="eastAsia" w:ascii="Times New Roman" w:hAnsi="黑体" w:eastAsia="黑体"/>
          <w:b/>
          <w:kern w:val="0"/>
          <w:sz w:val="32"/>
          <w:szCs w:val="32"/>
        </w:rPr>
        <w:t>工作要求</w:t>
      </w:r>
    </w:p>
    <w:p>
      <w:pPr>
        <w:widowControl/>
        <w:shd w:val="clear" w:color="auto" w:fill="FFFFFF"/>
        <w:adjustRightInd w:val="0"/>
        <w:snapToGrid w:val="0"/>
        <w:spacing w:line="348" w:lineRule="auto"/>
        <w:ind w:firstLine="630" w:firstLineChars="200"/>
        <w:jc w:val="left"/>
        <w:rPr>
          <w:rFonts w:ascii="Times New Roman"/>
          <w:kern w:val="0"/>
          <w:sz w:val="32"/>
          <w:szCs w:val="32"/>
        </w:rPr>
      </w:pPr>
      <w:r>
        <w:rPr>
          <w:rFonts w:hint="eastAsia" w:ascii="Times New Roman"/>
          <w:kern w:val="0"/>
          <w:sz w:val="32"/>
          <w:szCs w:val="32"/>
        </w:rPr>
        <w:t>全省大学生职业生涯规划大赛是经学校认定的省级A类赛事，请各学院及有关部门高度重视，积极宣传并认真组织学生和教师广泛参与，力争取得优异成绩。同时建议学院参照学校决赛的做法，发文公布初赛评选结果并颁发荣誉证书及相应奖励。</w:t>
      </w:r>
    </w:p>
    <w:p>
      <w:pPr>
        <w:adjustRightInd w:val="0"/>
        <w:snapToGrid w:val="0"/>
        <w:spacing w:line="348" w:lineRule="auto"/>
        <w:ind w:firstLine="630" w:firstLineChars="200"/>
        <w:rPr>
          <w:rFonts w:ascii="Times New Roman" w:hAnsi="黑体" w:eastAsia="黑体"/>
          <w:b/>
          <w:kern w:val="0"/>
          <w:sz w:val="32"/>
          <w:szCs w:val="32"/>
        </w:rPr>
      </w:pPr>
      <w:r>
        <w:rPr>
          <w:rFonts w:hint="eastAsia" w:ascii="Times New Roman" w:hAnsi="黑体" w:eastAsia="黑体"/>
          <w:b/>
          <w:kern w:val="0"/>
          <w:sz w:val="32"/>
          <w:szCs w:val="32"/>
        </w:rPr>
        <w:t>六</w:t>
      </w:r>
      <w:r>
        <w:rPr>
          <w:rFonts w:ascii="Times New Roman" w:hAnsi="黑体" w:eastAsia="黑体"/>
          <w:b/>
          <w:kern w:val="0"/>
          <w:sz w:val="32"/>
          <w:szCs w:val="32"/>
        </w:rPr>
        <w:t>、联系方式</w:t>
      </w:r>
    </w:p>
    <w:p>
      <w:pPr>
        <w:adjustRightInd w:val="0"/>
        <w:snapToGrid w:val="0"/>
        <w:spacing w:line="348" w:lineRule="auto"/>
        <w:ind w:firstLine="630" w:firstLineChars="200"/>
        <w:rPr>
          <w:rFonts w:hint="eastAsia" w:ascii="Times New Roman"/>
          <w:kern w:val="0"/>
          <w:sz w:val="32"/>
          <w:szCs w:val="32"/>
        </w:rPr>
      </w:pPr>
      <w:r>
        <w:rPr>
          <w:rFonts w:ascii="Times New Roman"/>
          <w:kern w:val="0"/>
          <w:sz w:val="32"/>
          <w:szCs w:val="32"/>
        </w:rPr>
        <w:t>联系人：郑钧予  3987390</w:t>
      </w:r>
    </w:p>
    <w:p>
      <w:pPr>
        <w:adjustRightInd w:val="0"/>
        <w:snapToGrid w:val="0"/>
        <w:spacing w:line="348" w:lineRule="auto"/>
        <w:ind w:firstLine="819" w:firstLineChars="260"/>
        <w:rPr>
          <w:rFonts w:ascii="Times New Roman"/>
          <w:kern w:val="0"/>
          <w:sz w:val="32"/>
          <w:szCs w:val="32"/>
        </w:rPr>
      </w:pPr>
      <w:r>
        <w:rPr>
          <w:rFonts w:ascii="Times New Roman"/>
          <w:kern w:val="0"/>
          <w:sz w:val="32"/>
          <w:szCs w:val="32"/>
        </w:rPr>
        <w:t xml:space="preserve">       张润华  3987382</w:t>
      </w:r>
    </w:p>
    <w:p>
      <w:pPr>
        <w:adjustRightInd w:val="0"/>
        <w:snapToGrid w:val="0"/>
        <w:spacing w:line="348" w:lineRule="auto"/>
        <w:ind w:firstLine="630" w:firstLineChars="200"/>
        <w:rPr>
          <w:rFonts w:ascii="Times New Roman"/>
          <w:kern w:val="0"/>
          <w:sz w:val="32"/>
          <w:szCs w:val="32"/>
        </w:rPr>
      </w:pPr>
      <w:r>
        <w:rPr>
          <w:rFonts w:ascii="Times New Roman"/>
          <w:kern w:val="0"/>
          <w:sz w:val="32"/>
          <w:szCs w:val="32"/>
        </w:rPr>
        <w:t>大赛工作微信交流群：</w:t>
      </w:r>
    </w:p>
    <w:p>
      <w:pPr>
        <w:adjustRightInd w:val="0"/>
        <w:snapToGrid w:val="0"/>
        <w:spacing w:line="348" w:lineRule="auto"/>
        <w:ind w:firstLine="615"/>
        <w:jc w:val="center"/>
        <w:rPr>
          <w:rFonts w:ascii="Times New Roman"/>
          <w:kern w:val="0"/>
          <w:sz w:val="32"/>
          <w:szCs w:val="32"/>
        </w:rPr>
      </w:pPr>
      <w:r>
        <w:rPr>
          <w:rFonts w:ascii="Times New Roman"/>
          <w:kern w:val="0"/>
          <w:sz w:val="32"/>
          <w:szCs w:val="32"/>
        </w:rPr>
        <w:drawing>
          <wp:inline distT="0" distB="0" distL="0" distR="0">
            <wp:extent cx="1300480" cy="1504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1303333" cy="1507748"/>
                    </a:xfrm>
                    <a:prstGeom prst="rect">
                      <a:avLst/>
                    </a:prstGeom>
                    <a:noFill/>
                    <a:ln w="9525">
                      <a:noFill/>
                      <a:miter lim="800000"/>
                      <a:headEnd/>
                      <a:tailEnd/>
                    </a:ln>
                  </pic:spPr>
                </pic:pic>
              </a:graphicData>
            </a:graphic>
          </wp:inline>
        </w:drawing>
      </w:r>
    </w:p>
    <w:p>
      <w:pPr>
        <w:adjustRightInd w:val="0"/>
        <w:snapToGrid w:val="0"/>
        <w:spacing w:line="348" w:lineRule="auto"/>
        <w:ind w:firstLine="630" w:firstLineChars="200"/>
        <w:rPr>
          <w:rFonts w:ascii="Times New Roman"/>
          <w:kern w:val="0"/>
          <w:sz w:val="32"/>
          <w:szCs w:val="32"/>
        </w:rPr>
      </w:pPr>
      <w:r>
        <w:rPr>
          <w:rFonts w:ascii="Times New Roman"/>
          <w:kern w:val="0"/>
          <w:sz w:val="32"/>
          <w:szCs w:val="32"/>
        </w:rPr>
        <w:t>附件：1．比赛规则</w:t>
      </w:r>
    </w:p>
    <w:p>
      <w:pPr>
        <w:adjustRightInd w:val="0"/>
        <w:snapToGrid w:val="0"/>
        <w:spacing w:line="348" w:lineRule="auto"/>
        <w:ind w:firstLine="1556" w:firstLineChars="494"/>
        <w:rPr>
          <w:rFonts w:ascii="Times New Roman"/>
          <w:kern w:val="0"/>
          <w:sz w:val="32"/>
          <w:szCs w:val="32"/>
        </w:rPr>
      </w:pPr>
      <w:r>
        <w:rPr>
          <w:rFonts w:ascii="Times New Roman"/>
          <w:kern w:val="0"/>
          <w:sz w:val="32"/>
          <w:szCs w:val="32"/>
        </w:rPr>
        <w:t>2．学院晋级决赛</w:t>
      </w:r>
      <w:r>
        <w:rPr>
          <w:rFonts w:hint="eastAsia" w:ascii="Times New Roman"/>
          <w:kern w:val="0"/>
          <w:sz w:val="32"/>
          <w:szCs w:val="32"/>
        </w:rPr>
        <w:t>选手</w:t>
      </w:r>
      <w:r>
        <w:rPr>
          <w:rFonts w:ascii="Times New Roman"/>
          <w:kern w:val="0"/>
          <w:sz w:val="32"/>
          <w:szCs w:val="32"/>
        </w:rPr>
        <w:t>名单</w:t>
      </w:r>
    </w:p>
    <w:p>
      <w:pPr>
        <w:adjustRightInd w:val="0"/>
        <w:snapToGrid w:val="0"/>
        <w:spacing w:line="348" w:lineRule="auto"/>
        <w:ind w:firstLine="1556" w:firstLineChars="494"/>
        <w:rPr>
          <w:rFonts w:ascii="Times New Roman"/>
          <w:kern w:val="0"/>
          <w:sz w:val="32"/>
          <w:szCs w:val="32"/>
        </w:rPr>
      </w:pPr>
      <w:r>
        <w:rPr>
          <w:rFonts w:ascii="Times New Roman"/>
          <w:kern w:val="0"/>
          <w:sz w:val="32"/>
          <w:szCs w:val="32"/>
        </w:rPr>
        <w:t>3．评分参考标准</w:t>
      </w:r>
    </w:p>
    <w:p>
      <w:pPr>
        <w:adjustRightInd w:val="0"/>
        <w:snapToGrid w:val="0"/>
        <w:spacing w:line="348" w:lineRule="auto"/>
        <w:ind w:firstLine="1556" w:firstLineChars="494"/>
        <w:rPr>
          <w:rFonts w:ascii="Times New Roman"/>
          <w:kern w:val="0"/>
          <w:sz w:val="32"/>
          <w:szCs w:val="32"/>
        </w:rPr>
      </w:pPr>
      <w:r>
        <w:rPr>
          <w:rFonts w:hint="eastAsia" w:ascii="Times New Roman"/>
          <w:kern w:val="0"/>
          <w:sz w:val="32"/>
          <w:szCs w:val="32"/>
        </w:rPr>
        <w:t>4</w:t>
      </w:r>
      <w:r>
        <w:rPr>
          <w:rFonts w:ascii="Times New Roman"/>
          <w:kern w:val="0"/>
          <w:sz w:val="32"/>
          <w:szCs w:val="32"/>
        </w:rPr>
        <w:t>．</w:t>
      </w:r>
      <w:r>
        <w:rPr>
          <w:rFonts w:hint="eastAsia" w:ascii="Times New Roman"/>
          <w:kern w:val="0"/>
          <w:sz w:val="32"/>
          <w:szCs w:val="32"/>
        </w:rPr>
        <w:t>河南省教育厅等七部门关于举办2021年全省大学生职业生涯规划大赛的通知</w:t>
      </w:r>
    </w:p>
    <w:p>
      <w:pPr>
        <w:adjustRightInd w:val="0"/>
        <w:snapToGrid w:val="0"/>
        <w:spacing w:line="348" w:lineRule="auto"/>
        <w:ind w:firstLine="4442" w:firstLineChars="1410"/>
        <w:rPr>
          <w:rFonts w:ascii="Times New Roman"/>
          <w:kern w:val="0"/>
          <w:sz w:val="32"/>
          <w:szCs w:val="32"/>
        </w:rPr>
      </w:pPr>
    </w:p>
    <w:p>
      <w:pPr>
        <w:adjustRightInd w:val="0"/>
        <w:snapToGrid w:val="0"/>
        <w:spacing w:line="348" w:lineRule="auto"/>
        <w:ind w:firstLine="4442" w:firstLineChars="1410"/>
        <w:rPr>
          <w:rFonts w:ascii="Times New Roman"/>
          <w:kern w:val="0"/>
          <w:sz w:val="32"/>
          <w:szCs w:val="32"/>
        </w:rPr>
      </w:pPr>
      <w:r>
        <w:rPr>
          <w:rFonts w:ascii="Times New Roman"/>
          <w:kern w:val="0"/>
          <w:sz w:val="32"/>
          <w:szCs w:val="32"/>
        </w:rPr>
        <w:t>河南理工大学招生就业处</w:t>
      </w:r>
    </w:p>
    <w:p>
      <w:pPr>
        <w:adjustRightInd w:val="0"/>
        <w:snapToGrid w:val="0"/>
        <w:spacing w:line="348" w:lineRule="auto"/>
        <w:ind w:firstLine="5238" w:firstLineChars="1663"/>
        <w:rPr>
          <w:rFonts w:ascii="Times New Roman"/>
          <w:kern w:val="0"/>
          <w:sz w:val="32"/>
          <w:szCs w:val="32"/>
        </w:rPr>
      </w:pPr>
      <w:r>
        <w:rPr>
          <w:rFonts w:ascii="Times New Roman"/>
          <w:kern w:val="0"/>
          <w:sz w:val="32"/>
          <w:szCs w:val="32"/>
        </w:rPr>
        <w:t>2021年10月</w:t>
      </w:r>
      <w:r>
        <w:rPr>
          <w:rFonts w:hint="eastAsia" w:ascii="Times New Roman"/>
          <w:kern w:val="0"/>
          <w:sz w:val="32"/>
          <w:szCs w:val="32"/>
        </w:rPr>
        <w:t>20</w:t>
      </w:r>
      <w:r>
        <w:rPr>
          <w:rFonts w:ascii="Times New Roman"/>
          <w:kern w:val="0"/>
          <w:sz w:val="32"/>
          <w:szCs w:val="32"/>
        </w:rPr>
        <w:t>日</w:t>
      </w:r>
    </w:p>
    <w:p>
      <w:pPr>
        <w:spacing w:line="348" w:lineRule="auto"/>
        <w:jc w:val="left"/>
        <w:rPr>
          <w:color w:val="auto"/>
          <w:sz w:val="32"/>
          <w:szCs w:val="32"/>
        </w:rPr>
      </w:pPr>
      <w:r>
        <w:rPr>
          <w:color w:val="auto"/>
          <w:sz w:val="32"/>
          <w:szCs w:val="32"/>
        </w:rPr>
        <w:t>附件1</w:t>
      </w:r>
    </w:p>
    <w:p>
      <w:pPr>
        <w:spacing w:line="348" w:lineRule="auto"/>
        <w:jc w:val="center"/>
        <w:rPr>
          <w:rFonts w:ascii="方正小标宋简体" w:eastAsia="方正小标宋简体"/>
          <w:color w:val="auto"/>
          <w:sz w:val="36"/>
          <w:szCs w:val="36"/>
        </w:rPr>
      </w:pPr>
      <w:r>
        <w:rPr>
          <w:rFonts w:ascii="方正小标宋简体" w:eastAsia="方正小标宋简体"/>
          <w:color w:val="auto"/>
          <w:sz w:val="36"/>
          <w:szCs w:val="36"/>
        </w:rPr>
        <w:t>比  赛  规  则</w:t>
      </w:r>
    </w:p>
    <w:p>
      <w:pPr>
        <w:adjustRightInd w:val="0"/>
        <w:snapToGrid w:val="0"/>
        <w:spacing w:line="348" w:lineRule="auto"/>
        <w:ind w:firstLine="630" w:firstLineChars="200"/>
        <w:rPr>
          <w:rFonts w:ascii="Times New Roman"/>
          <w:sz w:val="32"/>
          <w:szCs w:val="32"/>
        </w:rPr>
      </w:pPr>
      <w:r>
        <w:rPr>
          <w:rFonts w:ascii="Times New Roman"/>
          <w:sz w:val="32"/>
          <w:szCs w:val="32"/>
        </w:rPr>
        <w:t>比赛分为书面作品评审、</w:t>
      </w:r>
      <w:bookmarkStart w:id="1" w:name="OLE_LINK3"/>
      <w:r>
        <w:rPr>
          <w:rFonts w:ascii="Times New Roman"/>
          <w:kern w:val="0"/>
          <w:sz w:val="32"/>
          <w:szCs w:val="32"/>
        </w:rPr>
        <w:t>现场</w:t>
      </w:r>
      <w:bookmarkEnd w:id="1"/>
      <w:r>
        <w:rPr>
          <w:rFonts w:ascii="Times New Roman"/>
          <w:kern w:val="0"/>
          <w:sz w:val="32"/>
          <w:szCs w:val="32"/>
        </w:rPr>
        <w:t>比赛</w:t>
      </w:r>
      <w:r>
        <w:rPr>
          <w:rFonts w:ascii="Times New Roman"/>
          <w:sz w:val="32"/>
          <w:szCs w:val="32"/>
        </w:rPr>
        <w:t>两个环节。</w:t>
      </w:r>
    </w:p>
    <w:p>
      <w:pPr>
        <w:adjustRightInd w:val="0"/>
        <w:snapToGrid w:val="0"/>
        <w:spacing w:line="348" w:lineRule="auto"/>
        <w:ind w:firstLine="630" w:firstLineChars="200"/>
        <w:rPr>
          <w:rFonts w:ascii="Times New Roman"/>
          <w:sz w:val="32"/>
          <w:szCs w:val="32"/>
        </w:rPr>
      </w:pPr>
      <w:r>
        <w:rPr>
          <w:rFonts w:ascii="Times New Roman"/>
          <w:sz w:val="32"/>
          <w:szCs w:val="32"/>
        </w:rPr>
        <w:t>一、书面作品分为《职业生涯规划书》和《职业生涯人物访谈报告》两个部分，分别占总分的20%和15%。</w:t>
      </w:r>
    </w:p>
    <w:p>
      <w:pPr>
        <w:adjustRightInd w:val="0"/>
        <w:snapToGrid w:val="0"/>
        <w:spacing w:line="348" w:lineRule="auto"/>
        <w:ind w:firstLine="630" w:firstLineChars="200"/>
        <w:rPr>
          <w:rFonts w:ascii="Times New Roman"/>
          <w:sz w:val="32"/>
          <w:szCs w:val="32"/>
        </w:rPr>
      </w:pPr>
      <w:r>
        <w:rPr>
          <w:rFonts w:ascii="Times New Roman"/>
          <w:sz w:val="32"/>
          <w:szCs w:val="32"/>
        </w:rPr>
        <w:t>1.《</w:t>
      </w:r>
      <w:bookmarkStart w:id="2" w:name="OLE_LINK11"/>
      <w:r>
        <w:rPr>
          <w:rFonts w:ascii="Times New Roman"/>
          <w:sz w:val="32"/>
          <w:szCs w:val="32"/>
        </w:rPr>
        <w:t>职业生涯规划书</w:t>
      </w:r>
      <w:bookmarkEnd w:id="2"/>
      <w:r>
        <w:rPr>
          <w:rFonts w:ascii="Times New Roman"/>
          <w:sz w:val="32"/>
          <w:szCs w:val="32"/>
        </w:rPr>
        <w:t>》包括自我认知、职业认知、职业决策、计划与路径、评估与调整、职业道德等6个方面，以近期目标规划为主，即大学期间和毕业后5年内的职业生涯规划。规划书须有扉页，扉页填写参赛者的学校、姓名、性别、</w:t>
      </w:r>
      <w:r>
        <w:rPr>
          <w:rFonts w:hint="eastAsia" w:ascii="Times New Roman"/>
          <w:sz w:val="32"/>
          <w:szCs w:val="32"/>
        </w:rPr>
        <w:t>作品名称、</w:t>
      </w:r>
      <w:r>
        <w:rPr>
          <w:rFonts w:ascii="Times New Roman"/>
          <w:sz w:val="32"/>
          <w:szCs w:val="32"/>
        </w:rPr>
        <w:t>职业目标、专业、指导老师</w:t>
      </w:r>
      <w:r>
        <w:rPr>
          <w:rFonts w:hint="eastAsia" w:ascii="Times New Roman"/>
          <w:sz w:val="32"/>
          <w:szCs w:val="32"/>
        </w:rPr>
        <w:t>（1-2名）</w:t>
      </w:r>
      <w:r>
        <w:rPr>
          <w:rFonts w:ascii="Times New Roman"/>
          <w:sz w:val="32"/>
          <w:szCs w:val="32"/>
        </w:rPr>
        <w:t>、联系电话。电子版须为Word格式（*.doc文件），文件大小不超过2M。选手可根据自身情况个性化完善。</w:t>
      </w:r>
    </w:p>
    <w:p>
      <w:pPr>
        <w:adjustRightInd w:val="0"/>
        <w:snapToGrid w:val="0"/>
        <w:spacing w:line="348" w:lineRule="auto"/>
        <w:ind w:firstLine="618" w:firstLineChars="196"/>
        <w:rPr>
          <w:rFonts w:ascii="Times New Roman"/>
          <w:sz w:val="32"/>
          <w:szCs w:val="32"/>
        </w:rPr>
      </w:pPr>
      <w:r>
        <w:rPr>
          <w:rFonts w:ascii="Times New Roman"/>
          <w:bCs/>
          <w:sz w:val="32"/>
          <w:szCs w:val="32"/>
        </w:rPr>
        <w:t>2.</w:t>
      </w:r>
      <w:r>
        <w:rPr>
          <w:rFonts w:ascii="Times New Roman"/>
          <w:sz w:val="32"/>
          <w:szCs w:val="32"/>
        </w:rPr>
        <w:t>《职业生涯人物访谈报告》</w:t>
      </w:r>
      <w:bookmarkStart w:id="3" w:name="OLE_LINK12"/>
      <w:r>
        <w:rPr>
          <w:rFonts w:ascii="Times New Roman"/>
          <w:sz w:val="32"/>
          <w:szCs w:val="32"/>
        </w:rPr>
        <w:t>由选手</w:t>
      </w:r>
      <w:bookmarkEnd w:id="3"/>
      <w:r>
        <w:rPr>
          <w:rFonts w:ascii="Times New Roman"/>
          <w:sz w:val="32"/>
          <w:szCs w:val="32"/>
        </w:rPr>
        <w:t>根据自身规划选取与规划职业相同或者相似的职场人物进行职业生涯访谈。访谈报告内容结合访谈收获和个人职业规划目标撰写，题目自拟。内容包括：</w:t>
      </w:r>
      <w:bookmarkStart w:id="4" w:name="OLE_LINK7"/>
      <w:r>
        <w:rPr>
          <w:rFonts w:ascii="Times New Roman"/>
          <w:sz w:val="32"/>
          <w:szCs w:val="32"/>
        </w:rPr>
        <w:t>目标职业生涯人物的选取、目标职业生涯人物简介、访谈过程简介、访谈问题总结、对目标职业的分析、自身的认识变化、对自己就业和将来职业发展的帮助等。文字在2000字左右</w:t>
      </w:r>
      <w:bookmarkEnd w:id="4"/>
      <w:r>
        <w:rPr>
          <w:rFonts w:ascii="Times New Roman"/>
          <w:sz w:val="32"/>
          <w:szCs w:val="32"/>
        </w:rPr>
        <w:t>，《职业生涯人物访谈报告》作为《职业生涯规划书》的附件。</w:t>
      </w:r>
    </w:p>
    <w:p>
      <w:pPr>
        <w:adjustRightInd w:val="0"/>
        <w:snapToGrid w:val="0"/>
        <w:spacing w:line="348" w:lineRule="auto"/>
        <w:ind w:firstLine="630" w:firstLineChars="200"/>
        <w:rPr>
          <w:rFonts w:ascii="Times New Roman"/>
          <w:sz w:val="32"/>
          <w:szCs w:val="32"/>
        </w:rPr>
      </w:pPr>
      <w:bookmarkStart w:id="5" w:name="OLE_LINK15"/>
      <w:bookmarkStart w:id="6" w:name="OLE_LINK5"/>
      <w:r>
        <w:rPr>
          <w:rFonts w:ascii="Times New Roman" w:hAnsi="仿宋_GB2312"/>
          <w:bCs/>
          <w:sz w:val="32"/>
          <w:szCs w:val="32"/>
        </w:rPr>
        <w:t>二、现场比赛分为</w:t>
      </w:r>
      <w:r>
        <w:rPr>
          <w:rFonts w:ascii="Times New Roman"/>
          <w:kern w:val="0"/>
          <w:sz w:val="32"/>
          <w:szCs w:val="32"/>
        </w:rPr>
        <w:t>PPT</w:t>
      </w:r>
      <w:r>
        <w:rPr>
          <w:rFonts w:ascii="Times New Roman" w:hAnsi="仿宋_GB2312"/>
          <w:kern w:val="0"/>
          <w:sz w:val="32"/>
          <w:szCs w:val="32"/>
        </w:rPr>
        <w:t>现场</w:t>
      </w:r>
      <w:r>
        <w:rPr>
          <w:rFonts w:ascii="Times New Roman" w:hAnsi="仿宋_GB2312"/>
          <w:sz w:val="32"/>
          <w:szCs w:val="32"/>
        </w:rPr>
        <w:t>展示、职业角色情景模拟和答辩</w:t>
      </w:r>
      <w:r>
        <w:rPr>
          <w:rFonts w:ascii="Times New Roman"/>
          <w:sz w:val="32"/>
          <w:szCs w:val="32"/>
        </w:rPr>
        <w:t>3</w:t>
      </w:r>
      <w:r>
        <w:rPr>
          <w:rFonts w:ascii="Times New Roman" w:hAnsi="仿宋_GB2312"/>
          <w:sz w:val="32"/>
          <w:szCs w:val="32"/>
        </w:rPr>
        <w:t>部分，分别占总分的</w:t>
      </w:r>
      <w:r>
        <w:rPr>
          <w:rFonts w:ascii="Times New Roman"/>
          <w:sz w:val="32"/>
          <w:szCs w:val="32"/>
        </w:rPr>
        <w:t>40%</w:t>
      </w:r>
      <w:r>
        <w:rPr>
          <w:rFonts w:ascii="Times New Roman" w:hAnsi="仿宋_GB2312"/>
          <w:sz w:val="32"/>
          <w:szCs w:val="32"/>
        </w:rPr>
        <w:t>、</w:t>
      </w:r>
      <w:r>
        <w:rPr>
          <w:rFonts w:ascii="Times New Roman"/>
          <w:sz w:val="32"/>
          <w:szCs w:val="32"/>
        </w:rPr>
        <w:t>15%</w:t>
      </w:r>
      <w:r>
        <w:rPr>
          <w:rFonts w:ascii="Times New Roman" w:hAnsi="仿宋_GB2312"/>
          <w:sz w:val="32"/>
          <w:szCs w:val="32"/>
        </w:rPr>
        <w:t>和</w:t>
      </w:r>
      <w:r>
        <w:rPr>
          <w:rFonts w:ascii="Times New Roman"/>
          <w:sz w:val="32"/>
          <w:szCs w:val="32"/>
        </w:rPr>
        <w:t>10%</w:t>
      </w:r>
      <w:r>
        <w:rPr>
          <w:rFonts w:ascii="Times New Roman" w:hAnsi="仿宋_GB2312"/>
          <w:sz w:val="32"/>
          <w:szCs w:val="32"/>
        </w:rPr>
        <w:t>。</w:t>
      </w:r>
    </w:p>
    <w:p>
      <w:pPr>
        <w:adjustRightInd w:val="0"/>
        <w:snapToGrid w:val="0"/>
        <w:spacing w:line="348" w:lineRule="auto"/>
        <w:ind w:firstLine="618" w:firstLineChars="196"/>
        <w:rPr>
          <w:rFonts w:ascii="Times New Roman"/>
          <w:sz w:val="32"/>
          <w:szCs w:val="32"/>
        </w:rPr>
      </w:pPr>
      <w:r>
        <w:rPr>
          <w:rFonts w:ascii="Times New Roman"/>
          <w:bCs/>
          <w:sz w:val="32"/>
          <w:szCs w:val="32"/>
        </w:rPr>
        <w:t>1.</w:t>
      </w:r>
      <w:r>
        <w:rPr>
          <w:rFonts w:ascii="Times New Roman"/>
          <w:sz w:val="32"/>
          <w:szCs w:val="32"/>
        </w:rPr>
        <w:t>PPT</w:t>
      </w:r>
      <w:r>
        <w:rPr>
          <w:rFonts w:ascii="Times New Roman" w:hAnsi="仿宋_GB2312"/>
          <w:sz w:val="32"/>
          <w:szCs w:val="32"/>
        </w:rPr>
        <w:t>现场展示，要求通过</w:t>
      </w:r>
      <w:r>
        <w:rPr>
          <w:rFonts w:ascii="Times New Roman"/>
          <w:sz w:val="32"/>
          <w:szCs w:val="32"/>
        </w:rPr>
        <w:t>PPT</w:t>
      </w:r>
      <w:r>
        <w:rPr>
          <w:rFonts w:ascii="Times New Roman" w:hAnsi="仿宋_GB2312"/>
          <w:sz w:val="32"/>
          <w:szCs w:val="32"/>
        </w:rPr>
        <w:t>演示，对职业生涯规划设计书进行陈述。借助理论讲解和案例展现等形式，表现选手的综合素质，阐明职业规划的合理性、实用性和可操作性。</w:t>
      </w:r>
    </w:p>
    <w:bookmarkEnd w:id="5"/>
    <w:p>
      <w:pPr>
        <w:adjustRightInd w:val="0"/>
        <w:snapToGrid w:val="0"/>
        <w:spacing w:line="348" w:lineRule="auto"/>
        <w:ind w:firstLine="618" w:firstLineChars="196"/>
        <w:rPr>
          <w:rFonts w:ascii="Times New Roman"/>
          <w:sz w:val="32"/>
          <w:szCs w:val="32"/>
        </w:rPr>
      </w:pPr>
      <w:bookmarkStart w:id="7" w:name="OLE_LINK10"/>
      <w:r>
        <w:rPr>
          <w:rFonts w:ascii="Times New Roman"/>
          <w:bCs/>
          <w:sz w:val="32"/>
          <w:szCs w:val="32"/>
        </w:rPr>
        <w:t>2.</w:t>
      </w:r>
      <w:r>
        <w:rPr>
          <w:rFonts w:ascii="Times New Roman" w:hAnsi="仿宋_GB2312"/>
          <w:sz w:val="32"/>
          <w:szCs w:val="32"/>
        </w:rPr>
        <w:t>职业角色情景模拟，要求选手根据自身职业目标设计，模拟自己的目标角色在某一具体工作情境中的表现，选手需扮演本人规划作品中的目标职业角色，可以使用简单道具，可邀请</w:t>
      </w:r>
      <w:r>
        <w:rPr>
          <w:rFonts w:ascii="Times New Roman"/>
          <w:sz w:val="32"/>
          <w:szCs w:val="32"/>
        </w:rPr>
        <w:t>2</w:t>
      </w:r>
      <w:r>
        <w:rPr>
          <w:rFonts w:ascii="Times New Roman" w:hAnsi="仿宋_GB2312"/>
          <w:sz w:val="32"/>
          <w:szCs w:val="32"/>
        </w:rPr>
        <w:t>至</w:t>
      </w:r>
      <w:r>
        <w:rPr>
          <w:rFonts w:ascii="Times New Roman"/>
          <w:sz w:val="32"/>
          <w:szCs w:val="32"/>
        </w:rPr>
        <w:t>3</w:t>
      </w:r>
      <w:r>
        <w:rPr>
          <w:rFonts w:ascii="Times New Roman" w:hAnsi="仿宋_GB2312"/>
          <w:sz w:val="32"/>
          <w:szCs w:val="32"/>
        </w:rPr>
        <w:t>名其他同学或老师联合参演。内容真实、生动、鼓励独创性、杜绝雷同。要紧扣规划的目标职业，体现职业特点和履职要求，展现选手的职业能力和性格特质。</w:t>
      </w:r>
    </w:p>
    <w:bookmarkEnd w:id="7"/>
    <w:p>
      <w:pPr>
        <w:adjustRightInd w:val="0"/>
        <w:snapToGrid w:val="0"/>
        <w:spacing w:line="348" w:lineRule="auto"/>
        <w:ind w:firstLine="618" w:firstLineChars="196"/>
        <w:rPr>
          <w:rFonts w:ascii="Times New Roman"/>
          <w:sz w:val="32"/>
          <w:szCs w:val="32"/>
        </w:rPr>
      </w:pPr>
      <w:r>
        <w:rPr>
          <w:rFonts w:ascii="Times New Roman"/>
          <w:bCs/>
          <w:sz w:val="32"/>
          <w:szCs w:val="32"/>
        </w:rPr>
        <w:t>3.</w:t>
      </w:r>
      <w:r>
        <w:rPr>
          <w:rFonts w:ascii="Times New Roman" w:hAnsi="仿宋_GB2312"/>
          <w:sz w:val="32"/>
          <w:szCs w:val="32"/>
        </w:rPr>
        <w:t>现场比赛环节每个选手比赛时间</w:t>
      </w:r>
      <w:r>
        <w:rPr>
          <w:rFonts w:ascii="Times New Roman"/>
          <w:sz w:val="32"/>
          <w:szCs w:val="32"/>
        </w:rPr>
        <w:t>12</w:t>
      </w:r>
      <w:r>
        <w:rPr>
          <w:rFonts w:ascii="Times New Roman" w:hAnsi="仿宋_GB2312"/>
          <w:sz w:val="32"/>
          <w:szCs w:val="32"/>
        </w:rPr>
        <w:t>分钟，其中</w:t>
      </w:r>
      <w:r>
        <w:rPr>
          <w:rFonts w:ascii="Times New Roman"/>
          <w:sz w:val="32"/>
          <w:szCs w:val="32"/>
        </w:rPr>
        <w:t>5</w:t>
      </w:r>
      <w:r>
        <w:rPr>
          <w:rFonts w:ascii="Times New Roman" w:hAnsi="仿宋_GB2312"/>
          <w:sz w:val="32"/>
          <w:szCs w:val="32"/>
        </w:rPr>
        <w:t>分钟</w:t>
      </w:r>
      <w:r>
        <w:rPr>
          <w:rFonts w:ascii="Times New Roman"/>
          <w:sz w:val="32"/>
          <w:szCs w:val="32"/>
        </w:rPr>
        <w:t>PPT</w:t>
      </w:r>
      <w:r>
        <w:rPr>
          <w:rFonts w:ascii="Times New Roman" w:hAnsi="仿宋_GB2312"/>
          <w:sz w:val="32"/>
          <w:szCs w:val="32"/>
        </w:rPr>
        <w:t>展示，</w:t>
      </w:r>
      <w:r>
        <w:rPr>
          <w:rFonts w:ascii="Times New Roman"/>
          <w:sz w:val="32"/>
          <w:szCs w:val="32"/>
        </w:rPr>
        <w:t>4</w:t>
      </w:r>
      <w:r>
        <w:rPr>
          <w:rFonts w:ascii="Times New Roman" w:hAnsi="仿宋_GB2312"/>
          <w:sz w:val="32"/>
          <w:szCs w:val="32"/>
        </w:rPr>
        <w:t>分钟职业角色模拟，</w:t>
      </w:r>
      <w:r>
        <w:rPr>
          <w:rFonts w:ascii="Times New Roman"/>
          <w:sz w:val="32"/>
          <w:szCs w:val="32"/>
        </w:rPr>
        <w:t>3</w:t>
      </w:r>
      <w:r>
        <w:rPr>
          <w:rFonts w:ascii="Times New Roman" w:hAnsi="仿宋_GB2312"/>
          <w:sz w:val="32"/>
          <w:szCs w:val="32"/>
        </w:rPr>
        <w:t>分钟回答评委专家提问。</w:t>
      </w:r>
      <w:bookmarkEnd w:id="6"/>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djustRightInd w:val="0"/>
        <w:snapToGrid w:val="0"/>
        <w:spacing w:line="348" w:lineRule="auto"/>
        <w:ind w:firstLine="630" w:firstLineChars="200"/>
        <w:rPr>
          <w:rFonts w:ascii="Times New Roman"/>
          <w:kern w:val="0"/>
          <w:sz w:val="32"/>
          <w:szCs w:val="32"/>
        </w:rPr>
      </w:pPr>
    </w:p>
    <w:p>
      <w:pPr>
        <w:autoSpaceDE w:val="0"/>
        <w:autoSpaceDN w:val="0"/>
        <w:adjustRightInd w:val="0"/>
        <w:snapToGrid w:val="0"/>
        <w:spacing w:line="348" w:lineRule="auto"/>
        <w:jc w:val="left"/>
        <w:rPr>
          <w:rFonts w:ascii="Times New Roman" w:eastAsia="仿宋"/>
          <w:kern w:val="0"/>
          <w:szCs w:val="30"/>
        </w:rPr>
        <w:sectPr>
          <w:footerReference r:id="rId3" w:type="default"/>
          <w:pgSz w:w="11906" w:h="16838"/>
          <w:pgMar w:top="1418" w:right="1588" w:bottom="1418" w:left="1588" w:header="0" w:footer="0" w:gutter="0"/>
          <w:cols w:space="720" w:num="1"/>
          <w:docGrid w:type="linesAndChars" w:linePitch="590" w:charSpace="-1065"/>
        </w:sectPr>
      </w:pPr>
    </w:p>
    <w:p>
      <w:pPr>
        <w:spacing w:line="348" w:lineRule="auto"/>
        <w:jc w:val="left"/>
        <w:rPr>
          <w:color w:val="auto"/>
          <w:sz w:val="32"/>
          <w:szCs w:val="32"/>
        </w:rPr>
      </w:pPr>
      <w:r>
        <w:rPr>
          <w:color w:val="auto"/>
          <w:sz w:val="32"/>
          <w:szCs w:val="32"/>
        </w:rPr>
        <w:t>附件2</w:t>
      </w:r>
    </w:p>
    <w:p>
      <w:pPr>
        <w:spacing w:line="348" w:lineRule="auto"/>
        <w:jc w:val="center"/>
        <w:rPr>
          <w:rFonts w:ascii="方正小标宋简体" w:eastAsia="方正小标宋简体"/>
          <w:color w:val="auto"/>
          <w:sz w:val="36"/>
          <w:szCs w:val="36"/>
        </w:rPr>
      </w:pPr>
      <w:r>
        <w:rPr>
          <w:rFonts w:ascii="方正小标宋简体" w:eastAsia="方正小标宋简体"/>
          <w:color w:val="auto"/>
          <w:sz w:val="36"/>
          <w:szCs w:val="36"/>
        </w:rPr>
        <w:t>河南理工大学2021年</w:t>
      </w:r>
      <w:r>
        <w:rPr>
          <w:rFonts w:hint="eastAsia" w:ascii="方正小标宋简体" w:eastAsia="方正小标宋简体"/>
          <w:color w:val="auto"/>
          <w:sz w:val="36"/>
          <w:szCs w:val="36"/>
        </w:rPr>
        <w:t>大学生</w:t>
      </w:r>
      <w:r>
        <w:rPr>
          <w:rFonts w:ascii="方正小标宋简体" w:eastAsia="方正小标宋简体"/>
          <w:color w:val="auto"/>
          <w:sz w:val="36"/>
          <w:szCs w:val="36"/>
        </w:rPr>
        <w:t>职业生涯规划大赛各学院晋级决赛</w:t>
      </w:r>
      <w:r>
        <w:rPr>
          <w:rFonts w:hint="eastAsia" w:ascii="方正小标宋简体" w:eastAsia="方正小标宋简体"/>
          <w:color w:val="auto"/>
          <w:sz w:val="36"/>
          <w:szCs w:val="36"/>
        </w:rPr>
        <w:t>选手</w:t>
      </w:r>
      <w:r>
        <w:rPr>
          <w:rFonts w:ascii="方正小标宋简体" w:eastAsia="方正小标宋简体"/>
          <w:color w:val="auto"/>
          <w:sz w:val="36"/>
          <w:szCs w:val="36"/>
        </w:rPr>
        <w:t>名单</w:t>
      </w:r>
    </w:p>
    <w:p>
      <w:pPr>
        <w:adjustRightInd w:val="0"/>
        <w:snapToGrid w:val="0"/>
        <w:spacing w:line="348" w:lineRule="auto"/>
        <w:jc w:val="left"/>
        <w:rPr>
          <w:rFonts w:ascii="Times New Roman"/>
          <w:sz w:val="32"/>
          <w:szCs w:val="32"/>
        </w:rPr>
      </w:pPr>
      <w:r>
        <w:rPr>
          <w:rFonts w:ascii="Times New Roman" w:hAnsi="仿宋_GB2312"/>
          <w:sz w:val="32"/>
          <w:szCs w:val="32"/>
        </w:rPr>
        <w:t>报送学院（盖章）：</w:t>
      </w:r>
    </w:p>
    <w:tbl>
      <w:tblPr>
        <w:tblStyle w:val="6"/>
        <w:tblW w:w="13335" w:type="dxa"/>
        <w:jc w:val="center"/>
        <w:tblLayout w:type="fixed"/>
        <w:tblCellMar>
          <w:top w:w="0" w:type="dxa"/>
          <w:left w:w="108" w:type="dxa"/>
          <w:bottom w:w="0" w:type="dxa"/>
          <w:right w:w="108" w:type="dxa"/>
        </w:tblCellMar>
      </w:tblPr>
      <w:tblGrid>
        <w:gridCol w:w="914"/>
        <w:gridCol w:w="1985"/>
        <w:gridCol w:w="1792"/>
        <w:gridCol w:w="2177"/>
        <w:gridCol w:w="2820"/>
        <w:gridCol w:w="2160"/>
        <w:gridCol w:w="1487"/>
      </w:tblGrid>
      <w:tr>
        <w:tblPrEx>
          <w:tblCellMar>
            <w:top w:w="0" w:type="dxa"/>
            <w:left w:w="108" w:type="dxa"/>
            <w:bottom w:w="0" w:type="dxa"/>
            <w:right w:w="108" w:type="dxa"/>
          </w:tblCellMar>
        </w:tblPrEx>
        <w:trPr>
          <w:trHeight w:val="108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rPr>
                <w:rFonts w:ascii="Times New Roman"/>
                <w:b/>
                <w:sz w:val="28"/>
                <w:szCs w:val="28"/>
              </w:rPr>
            </w:pPr>
            <w:r>
              <w:rPr>
                <w:rFonts w:ascii="Times New Roman" w:hAnsi="仿宋_GB2312"/>
                <w:b/>
                <w:sz w:val="28"/>
                <w:szCs w:val="28"/>
              </w:rPr>
              <w:t>序号</w:t>
            </w: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ind w:firstLine="551" w:firstLineChars="196"/>
              <w:rPr>
                <w:rFonts w:ascii="Times New Roman"/>
                <w:b/>
                <w:sz w:val="28"/>
                <w:szCs w:val="28"/>
              </w:rPr>
            </w:pPr>
            <w:r>
              <w:rPr>
                <w:rFonts w:ascii="Times New Roman" w:hAnsi="仿宋_GB2312"/>
                <w:b/>
                <w:sz w:val="28"/>
                <w:szCs w:val="28"/>
              </w:rPr>
              <w:t>姓名</w:t>
            </w: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b/>
                <w:sz w:val="28"/>
                <w:szCs w:val="28"/>
              </w:rPr>
            </w:pPr>
            <w:r>
              <w:rPr>
                <w:rFonts w:ascii="Times New Roman" w:hAnsi="仿宋_GB2312"/>
                <w:b/>
                <w:sz w:val="28"/>
                <w:szCs w:val="28"/>
              </w:rPr>
              <w:t>年级专业</w:t>
            </w: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b/>
                <w:sz w:val="28"/>
                <w:szCs w:val="28"/>
              </w:rPr>
            </w:pPr>
            <w:r>
              <w:rPr>
                <w:rFonts w:ascii="Times New Roman" w:hAnsi="仿宋_GB2312"/>
                <w:b/>
                <w:sz w:val="28"/>
                <w:szCs w:val="28"/>
              </w:rPr>
              <w:t>手机号</w:t>
            </w: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b/>
                <w:sz w:val="28"/>
                <w:szCs w:val="28"/>
              </w:rPr>
            </w:pPr>
            <w:r>
              <w:rPr>
                <w:rFonts w:hint="eastAsia" w:ascii="Times New Roman"/>
                <w:b/>
                <w:sz w:val="28"/>
                <w:szCs w:val="28"/>
              </w:rPr>
              <w:t>作品名称</w:t>
            </w: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rPr>
                <w:rFonts w:ascii="Times New Roman"/>
                <w:b/>
                <w:sz w:val="28"/>
                <w:szCs w:val="28"/>
              </w:rPr>
            </w:pPr>
            <w:r>
              <w:rPr>
                <w:rFonts w:ascii="Times New Roman" w:hAnsi="仿宋_GB2312"/>
                <w:b/>
                <w:sz w:val="28"/>
                <w:szCs w:val="28"/>
              </w:rPr>
              <w:t>指导老师及联系方式（</w:t>
            </w:r>
            <w:r>
              <w:rPr>
                <w:rFonts w:ascii="Times New Roman"/>
                <w:b/>
                <w:sz w:val="28"/>
                <w:szCs w:val="28"/>
              </w:rPr>
              <w:t>1-2</w:t>
            </w:r>
            <w:r>
              <w:rPr>
                <w:rFonts w:ascii="Times New Roman" w:hAnsi="仿宋_GB2312"/>
                <w:b/>
                <w:sz w:val="28"/>
                <w:szCs w:val="28"/>
              </w:rPr>
              <w:t>名）</w:t>
            </w: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b/>
                <w:sz w:val="28"/>
                <w:szCs w:val="28"/>
              </w:rPr>
            </w:pPr>
            <w:r>
              <w:rPr>
                <w:rFonts w:ascii="Times New Roman" w:hAnsi="仿宋_GB2312"/>
                <w:b/>
                <w:sz w:val="28"/>
                <w:szCs w:val="28"/>
              </w:rPr>
              <w:t>备注</w:t>
            </w: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r>
              <w:rPr>
                <w:rFonts w:ascii="Times New Roman"/>
                <w:sz w:val="28"/>
                <w:szCs w:val="28"/>
              </w:rPr>
              <w:t>1</w:t>
            </w: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r>
              <w:rPr>
                <w:rFonts w:ascii="Times New Roman"/>
                <w:sz w:val="28"/>
                <w:szCs w:val="28"/>
              </w:rPr>
              <w:t>2</w:t>
            </w: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r>
              <w:rPr>
                <w:rFonts w:ascii="Times New Roman"/>
                <w:sz w:val="28"/>
                <w:szCs w:val="28"/>
              </w:rPr>
              <w:t>3</w:t>
            </w: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r>
              <w:rPr>
                <w:rFonts w:ascii="Times New Roman"/>
                <w:sz w:val="28"/>
                <w:szCs w:val="28"/>
              </w:rPr>
              <w:t>…</w:t>
            </w: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r>
        <w:tblPrEx>
          <w:tblCellMar>
            <w:top w:w="0" w:type="dxa"/>
            <w:left w:w="108" w:type="dxa"/>
            <w:bottom w:w="0" w:type="dxa"/>
            <w:right w:w="108" w:type="dxa"/>
          </w:tblCellMar>
        </w:tblPrEx>
        <w:trPr>
          <w:trHeight w:val="564"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985"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792" w:type="dxa"/>
            <w:tcBorders>
              <w:top w:val="single" w:color="000000" w:sz="4" w:space="0"/>
              <w:left w:val="nil"/>
              <w:bottom w:val="single" w:color="000000" w:sz="4" w:space="0"/>
              <w:right w:val="single" w:color="auto" w:sz="4" w:space="0"/>
            </w:tcBorders>
            <w:vAlign w:val="center"/>
          </w:tcPr>
          <w:p>
            <w:pPr>
              <w:adjustRightInd w:val="0"/>
              <w:snapToGrid w:val="0"/>
              <w:spacing w:line="348" w:lineRule="auto"/>
              <w:jc w:val="center"/>
              <w:rPr>
                <w:rFonts w:ascii="Times New Roman"/>
                <w:sz w:val="28"/>
                <w:szCs w:val="28"/>
              </w:rPr>
            </w:pPr>
          </w:p>
        </w:tc>
        <w:tc>
          <w:tcPr>
            <w:tcW w:w="21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82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2160"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c>
          <w:tcPr>
            <w:tcW w:w="1487" w:type="dxa"/>
            <w:tcBorders>
              <w:top w:val="single" w:color="000000" w:sz="4" w:space="0"/>
              <w:left w:val="nil"/>
              <w:bottom w:val="single" w:color="000000" w:sz="4" w:space="0"/>
              <w:right w:val="single" w:color="000000" w:sz="4" w:space="0"/>
            </w:tcBorders>
            <w:vAlign w:val="center"/>
          </w:tcPr>
          <w:p>
            <w:pPr>
              <w:adjustRightInd w:val="0"/>
              <w:snapToGrid w:val="0"/>
              <w:spacing w:line="348" w:lineRule="auto"/>
              <w:jc w:val="center"/>
              <w:rPr>
                <w:rFonts w:ascii="Times New Roman"/>
                <w:sz w:val="28"/>
                <w:szCs w:val="28"/>
              </w:rPr>
            </w:pPr>
          </w:p>
        </w:tc>
      </w:tr>
    </w:tbl>
    <w:p>
      <w:pPr>
        <w:adjustRightInd w:val="0"/>
        <w:snapToGrid w:val="0"/>
        <w:spacing w:line="348" w:lineRule="auto"/>
        <w:ind w:firstLine="590"/>
        <w:jc w:val="left"/>
        <w:rPr>
          <w:rFonts w:ascii="Times New Roman" w:eastAsia="黑体"/>
          <w:sz w:val="32"/>
          <w:szCs w:val="32"/>
        </w:rPr>
        <w:sectPr>
          <w:pgSz w:w="16838" w:h="11906" w:orient="landscape"/>
          <w:pgMar w:top="1440" w:right="1800" w:bottom="1440" w:left="1800" w:header="0" w:footer="1814" w:gutter="0"/>
          <w:cols w:space="720" w:num="1"/>
          <w:docGrid w:linePitch="590" w:charSpace="-1065"/>
        </w:sectPr>
      </w:pPr>
    </w:p>
    <w:p>
      <w:pPr>
        <w:spacing w:line="348" w:lineRule="auto"/>
        <w:jc w:val="left"/>
        <w:rPr>
          <w:color w:val="auto"/>
          <w:sz w:val="32"/>
          <w:szCs w:val="32"/>
        </w:rPr>
      </w:pPr>
      <w:r>
        <w:rPr>
          <w:color w:val="auto"/>
          <w:sz w:val="32"/>
          <w:szCs w:val="32"/>
        </w:rPr>
        <w:t>附件3</w:t>
      </w:r>
    </w:p>
    <w:p>
      <w:pPr>
        <w:spacing w:line="300" w:lineRule="auto"/>
        <w:jc w:val="center"/>
        <w:rPr>
          <w:rFonts w:ascii="方正小标宋简体" w:eastAsia="方正小标宋简体"/>
          <w:color w:val="auto"/>
          <w:sz w:val="36"/>
          <w:szCs w:val="36"/>
        </w:rPr>
      </w:pPr>
      <w:r>
        <w:rPr>
          <w:rFonts w:ascii="方正小标宋简体" w:eastAsia="方正小标宋简体"/>
          <w:color w:val="auto"/>
          <w:sz w:val="36"/>
          <w:szCs w:val="36"/>
        </w:rPr>
        <w:t>评分参考标准</w:t>
      </w:r>
    </w:p>
    <w:p>
      <w:pPr>
        <w:adjustRightInd w:val="0"/>
        <w:snapToGrid w:val="0"/>
        <w:spacing w:line="348" w:lineRule="auto"/>
        <w:ind w:firstLine="600" w:firstLineChars="200"/>
        <w:rPr>
          <w:rFonts w:ascii="Times New Roman" w:eastAsia="黑体"/>
        </w:rPr>
      </w:pPr>
      <w:r>
        <w:rPr>
          <w:rFonts w:ascii="Times New Roman" w:hAnsi="黑体" w:eastAsia="黑体"/>
        </w:rPr>
        <w:t>一、书面作品</w:t>
      </w:r>
    </w:p>
    <w:p>
      <w:pPr>
        <w:adjustRightInd w:val="0"/>
        <w:snapToGrid w:val="0"/>
        <w:spacing w:line="348" w:lineRule="auto"/>
        <w:ind w:firstLine="600" w:firstLineChars="200"/>
        <w:rPr>
          <w:rFonts w:ascii="Times New Roman" w:eastAsia="楷体_GB2312"/>
        </w:rPr>
      </w:pPr>
      <w:r>
        <w:rPr>
          <w:rFonts w:ascii="Times New Roman" w:hAnsi="楷体_GB2312" w:eastAsia="楷体_GB2312"/>
        </w:rPr>
        <w:t>（一）《职业生涯规划书》</w:t>
      </w:r>
    </w:p>
    <w:tbl>
      <w:tblPr>
        <w:tblStyle w:val="6"/>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00" w:lineRule="auto"/>
              <w:jc w:val="center"/>
              <w:rPr>
                <w:rFonts w:ascii="Times New Roman" w:eastAsia="黑体"/>
                <w:sz w:val="24"/>
              </w:rPr>
            </w:pPr>
            <w:bookmarkStart w:id="8" w:name="OLE_LINK1"/>
            <w:r>
              <w:rPr>
                <w:rFonts w:ascii="Times New Roman" w:hAnsi="黑体" w:eastAsia="黑体"/>
                <w:sz w:val="24"/>
              </w:rPr>
              <w:t>评分要素</w:t>
            </w:r>
            <w:bookmarkEnd w:id="8"/>
          </w:p>
        </w:tc>
        <w:tc>
          <w:tcPr>
            <w:tcW w:w="1260" w:type="dxa"/>
            <w:vAlign w:val="center"/>
          </w:tcPr>
          <w:p>
            <w:pPr>
              <w:adjustRightInd w:val="0"/>
              <w:snapToGrid w:val="0"/>
              <w:spacing w:line="300" w:lineRule="auto"/>
              <w:jc w:val="center"/>
              <w:rPr>
                <w:rFonts w:ascii="Times New Roman" w:eastAsia="黑体"/>
                <w:sz w:val="24"/>
              </w:rPr>
            </w:pPr>
            <w:r>
              <w:rPr>
                <w:rFonts w:ascii="Times New Roman" w:hAnsi="黑体" w:eastAsia="黑体"/>
                <w:sz w:val="24"/>
              </w:rPr>
              <w:t>评分要点</w:t>
            </w:r>
          </w:p>
        </w:tc>
        <w:tc>
          <w:tcPr>
            <w:tcW w:w="6582" w:type="dxa"/>
            <w:vAlign w:val="center"/>
          </w:tcPr>
          <w:p>
            <w:pPr>
              <w:adjustRightInd w:val="0"/>
              <w:snapToGrid w:val="0"/>
              <w:spacing w:line="300" w:lineRule="auto"/>
              <w:jc w:val="center"/>
              <w:rPr>
                <w:rFonts w:ascii="Times New Roman" w:eastAsia="黑体"/>
                <w:sz w:val="24"/>
              </w:rPr>
            </w:pPr>
            <w:r>
              <w:rPr>
                <w:rFonts w:ascii="Times New Roman" w:hAnsi="黑体" w:eastAsia="黑体"/>
                <w:sz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职业规划</w:t>
            </w:r>
          </w:p>
          <w:p>
            <w:pPr>
              <w:adjustRightInd w:val="0"/>
              <w:snapToGrid w:val="0"/>
              <w:spacing w:line="300" w:lineRule="auto"/>
              <w:jc w:val="center"/>
              <w:rPr>
                <w:rFonts w:ascii="Times New Roman" w:eastAsia="楷体_GB2312"/>
                <w:sz w:val="24"/>
              </w:rPr>
            </w:pPr>
            <w:r>
              <w:rPr>
                <w:rFonts w:ascii="Times New Roman" w:eastAsia="楷体_GB2312"/>
                <w:sz w:val="24"/>
              </w:rPr>
              <w:t>书内容</w:t>
            </w:r>
          </w:p>
        </w:tc>
        <w:tc>
          <w:tcPr>
            <w:tcW w:w="1260" w:type="dxa"/>
            <w:vMerge w:val="restart"/>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自我认知</w:t>
            </w:r>
          </w:p>
        </w:tc>
        <w:tc>
          <w:tcPr>
            <w:tcW w:w="6582" w:type="dxa"/>
            <w:vAlign w:val="center"/>
          </w:tcPr>
          <w:p>
            <w:pPr>
              <w:adjustRightInd w:val="0"/>
              <w:snapToGrid w:val="0"/>
              <w:spacing w:line="300" w:lineRule="auto"/>
              <w:rPr>
                <w:rFonts w:ascii="Times New Roman"/>
                <w:sz w:val="24"/>
              </w:rPr>
            </w:pPr>
            <w:r>
              <w:rPr>
                <w:rFonts w:ascii="Times New Roman"/>
                <w:sz w:val="24"/>
              </w:rPr>
              <w:t>1.自我分析清晰、全面、深入、客观，能清楚的认识到自己的优劣势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2.将人才测评量化分析与自我深入分析相结合，客观地评价自我，职业兴趣、职业能力、职业价值观、个性特征分析全面、到位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3.从个人兴趣爱好、成长经历、社会实践中分析自我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4.自我评估理论、模型应用正确、合理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restart"/>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职业认知</w:t>
            </w:r>
          </w:p>
        </w:tc>
        <w:tc>
          <w:tcPr>
            <w:tcW w:w="6582" w:type="dxa"/>
            <w:vAlign w:val="center"/>
          </w:tcPr>
          <w:p>
            <w:pPr>
              <w:adjustRightInd w:val="0"/>
              <w:snapToGrid w:val="0"/>
              <w:spacing w:line="300" w:lineRule="auto"/>
              <w:rPr>
                <w:rFonts w:ascii="Times New Roman"/>
                <w:sz w:val="24"/>
              </w:rPr>
            </w:pPr>
            <w:r>
              <w:rPr>
                <w:rFonts w:ascii="Times New Roman"/>
                <w:sz w:val="24"/>
              </w:rPr>
              <w:t>1.了解社会的整体就业趋势，并且了解大学生就业状况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2.对目标职业所处行业的现状及前景了解清晰，了解行业就业需求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3.熟悉目标职业的工作内容、工作环境、典型生活方式，了解目标职业的待遇、未来发展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4.对目标职位的进入途径、胜任标准了解清晰，深入了解目标职业对生活的影响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5.在探索过程中应用到文献检索、访谈、见习、实习等方法。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restart"/>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职业决策</w:t>
            </w:r>
          </w:p>
        </w:tc>
        <w:tc>
          <w:tcPr>
            <w:tcW w:w="6582" w:type="dxa"/>
            <w:vAlign w:val="center"/>
          </w:tcPr>
          <w:p>
            <w:pPr>
              <w:adjustRightInd w:val="0"/>
              <w:snapToGrid w:val="0"/>
              <w:spacing w:line="300" w:lineRule="auto"/>
              <w:rPr>
                <w:rFonts w:ascii="Times New Roman"/>
                <w:sz w:val="24"/>
              </w:rPr>
            </w:pPr>
            <w:r>
              <w:rPr>
                <w:rFonts w:ascii="Times New Roman"/>
                <w:sz w:val="24"/>
              </w:rPr>
              <w:t>1.职业目标确定和发展路径设计要符合外部环境和个人特质（兴趣、技能、特质、价值观），要符合实际、可执行、可实现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2.对照自我认知和职业认知的结果，分析自己优劣势及面临的机会和挑战，职业目标的选择过程阐述详尽，合乎逻辑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3.备选目标也要充分根据个人与环境的评估进行分析确定，备选目标职业发展路径与首选目标发展路径要有一定相关联系性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4.能够正确运用评估理论和决策模型做出决策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restart"/>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计划与路径</w:t>
            </w:r>
          </w:p>
        </w:tc>
        <w:tc>
          <w:tcPr>
            <w:tcW w:w="6582" w:type="dxa"/>
            <w:vAlign w:val="center"/>
          </w:tcPr>
          <w:p>
            <w:pPr>
              <w:adjustRightInd w:val="0"/>
              <w:snapToGrid w:val="0"/>
              <w:spacing w:line="300" w:lineRule="auto"/>
              <w:rPr>
                <w:rFonts w:ascii="Times New Roman"/>
                <w:sz w:val="24"/>
              </w:rPr>
            </w:pPr>
            <w:r>
              <w:rPr>
                <w:rFonts w:ascii="Times New Roman"/>
                <w:sz w:val="24"/>
              </w:rPr>
              <w:t>1.行动计划对保持个人优势、加强个人不足、全面提升个人竞争力有针对性、可操作性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2.近期计划详尽清晰、可操作性强，中期计划清晰并具有灵活性，长期计划具有方向性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3.职业发展路径充分考虑进入途径、胜任标准等探索结果，符合逻辑和现实，具有可操作性和竞争力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restart"/>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评估</w:t>
            </w:r>
          </w:p>
          <w:p>
            <w:pPr>
              <w:adjustRightInd w:val="0"/>
              <w:snapToGrid w:val="0"/>
              <w:spacing w:line="300" w:lineRule="auto"/>
              <w:jc w:val="center"/>
              <w:rPr>
                <w:rFonts w:ascii="Times New Roman" w:eastAsia="楷体_GB2312"/>
                <w:sz w:val="24"/>
              </w:rPr>
            </w:pPr>
            <w:r>
              <w:rPr>
                <w:rFonts w:ascii="Times New Roman" w:eastAsia="楷体_GB2312"/>
                <w:sz w:val="24"/>
              </w:rPr>
              <w:t>与调整</w:t>
            </w:r>
          </w:p>
        </w:tc>
        <w:tc>
          <w:tcPr>
            <w:tcW w:w="6582" w:type="dxa"/>
            <w:vAlign w:val="center"/>
          </w:tcPr>
          <w:p>
            <w:pPr>
              <w:adjustRightInd w:val="0"/>
              <w:snapToGrid w:val="0"/>
              <w:spacing w:line="300" w:lineRule="auto"/>
              <w:rPr>
                <w:rFonts w:ascii="Times New Roman"/>
                <w:sz w:val="24"/>
              </w:rPr>
            </w:pPr>
            <w:r>
              <w:rPr>
                <w:rFonts w:ascii="Times New Roman"/>
                <w:sz w:val="24"/>
              </w:rPr>
              <w:t>1.对行动计划和职业目标设定评估方案，如要达到什么标准，评估的要素是什么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2.能够对行动计划实施过程和风险做出评估，并制定切实可行的调整方案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Merge w:val="continue"/>
            <w:vAlign w:val="center"/>
          </w:tcPr>
          <w:p>
            <w:pPr>
              <w:widowControl/>
              <w:adjustRightInd w:val="0"/>
              <w:snapToGrid w:val="0"/>
              <w:spacing w:line="300" w:lineRule="auto"/>
              <w:jc w:val="left"/>
              <w:rPr>
                <w:rFonts w:ascii="Times New Roman" w:eastAsia="楷体_GB2312"/>
                <w:sz w:val="24"/>
              </w:rPr>
            </w:pPr>
          </w:p>
        </w:tc>
        <w:tc>
          <w:tcPr>
            <w:tcW w:w="6582" w:type="dxa"/>
            <w:vAlign w:val="center"/>
          </w:tcPr>
          <w:p>
            <w:pPr>
              <w:adjustRightInd w:val="0"/>
              <w:snapToGrid w:val="0"/>
              <w:spacing w:line="300" w:lineRule="auto"/>
              <w:rPr>
                <w:rFonts w:ascii="Times New Roman"/>
                <w:sz w:val="24"/>
              </w:rPr>
            </w:pPr>
            <w:r>
              <w:rPr>
                <w:rFonts w:ascii="Times New Roman"/>
                <w:sz w:val="24"/>
              </w:rPr>
              <w:t>3.调整方案的制定充分根据个人与环境的评估进行分析确定，充分考虑首选目标与备选目标间的联系和差异，具有可操作性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Align w:val="center"/>
          </w:tcPr>
          <w:p>
            <w:pPr>
              <w:adjustRightInd w:val="0"/>
              <w:snapToGrid w:val="0"/>
              <w:spacing w:line="300" w:lineRule="auto"/>
              <w:jc w:val="center"/>
              <w:rPr>
                <w:rFonts w:ascii="Times New Roman" w:eastAsia="楷体_GB2312"/>
                <w:sz w:val="24"/>
              </w:rPr>
            </w:pPr>
            <w:r>
              <w:rPr>
                <w:rFonts w:ascii="Times New Roman" w:eastAsia="楷体_GB2312"/>
                <w:sz w:val="24"/>
              </w:rPr>
              <w:t>职业道德</w:t>
            </w:r>
          </w:p>
        </w:tc>
        <w:tc>
          <w:tcPr>
            <w:tcW w:w="6582" w:type="dxa"/>
            <w:vAlign w:val="center"/>
          </w:tcPr>
          <w:p>
            <w:pPr>
              <w:adjustRightInd w:val="0"/>
              <w:snapToGrid w:val="0"/>
              <w:spacing w:line="300" w:lineRule="auto"/>
              <w:rPr>
                <w:rFonts w:ascii="Times New Roman"/>
                <w:sz w:val="24"/>
              </w:rPr>
            </w:pPr>
            <w:r>
              <w:rPr>
                <w:rFonts w:ascii="Times New Roman"/>
                <w:sz w:val="24"/>
              </w:rPr>
              <w:t>分析目标职业岗位的职业道德的内容、表现形式、调节范围、产生的效果等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adjustRightInd w:val="0"/>
              <w:snapToGrid w:val="0"/>
              <w:spacing w:line="300" w:lineRule="auto"/>
              <w:jc w:val="center"/>
              <w:rPr>
                <w:rFonts w:ascii="Times New Roman"/>
                <w:sz w:val="24"/>
              </w:rPr>
            </w:pPr>
            <w:r>
              <w:rPr>
                <w:rFonts w:ascii="Times New Roman"/>
                <w:sz w:val="24"/>
              </w:rPr>
              <w:t>设计思路</w:t>
            </w:r>
          </w:p>
        </w:tc>
        <w:tc>
          <w:tcPr>
            <w:tcW w:w="1260" w:type="dxa"/>
            <w:vAlign w:val="center"/>
          </w:tcPr>
          <w:p>
            <w:pPr>
              <w:adjustRightInd w:val="0"/>
              <w:snapToGrid w:val="0"/>
              <w:spacing w:line="300" w:lineRule="auto"/>
              <w:jc w:val="center"/>
              <w:rPr>
                <w:rFonts w:ascii="Times New Roman"/>
                <w:sz w:val="24"/>
              </w:rPr>
            </w:pPr>
            <w:r>
              <w:rPr>
                <w:rFonts w:ascii="Times New Roman"/>
                <w:sz w:val="24"/>
              </w:rPr>
              <w:t>完整性</w:t>
            </w:r>
          </w:p>
        </w:tc>
        <w:tc>
          <w:tcPr>
            <w:tcW w:w="6582" w:type="dxa"/>
            <w:vAlign w:val="center"/>
          </w:tcPr>
          <w:p>
            <w:pPr>
              <w:adjustRightInd w:val="0"/>
              <w:snapToGrid w:val="0"/>
              <w:spacing w:line="300" w:lineRule="auto"/>
              <w:rPr>
                <w:rFonts w:ascii="Times New Roman"/>
                <w:sz w:val="24"/>
              </w:rPr>
            </w:pPr>
            <w:r>
              <w:rPr>
                <w:rFonts w:ascii="Times New Roman"/>
                <w:sz w:val="24"/>
              </w:rPr>
              <w:t>作品内容要求真实、完整，分析透彻,运用职业生涯规划相关知识理论，结合自身，合理运用相关测评工具，客观准确地规划职业生涯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sz w:val="24"/>
              </w:rPr>
            </w:pPr>
          </w:p>
        </w:tc>
        <w:tc>
          <w:tcPr>
            <w:tcW w:w="1260" w:type="dxa"/>
            <w:vAlign w:val="center"/>
          </w:tcPr>
          <w:p>
            <w:pPr>
              <w:adjustRightInd w:val="0"/>
              <w:snapToGrid w:val="0"/>
              <w:spacing w:line="300" w:lineRule="auto"/>
              <w:jc w:val="center"/>
              <w:rPr>
                <w:rFonts w:ascii="Times New Roman"/>
                <w:sz w:val="24"/>
              </w:rPr>
            </w:pPr>
            <w:r>
              <w:rPr>
                <w:rFonts w:ascii="Times New Roman"/>
                <w:sz w:val="24"/>
              </w:rPr>
              <w:t>科学性</w:t>
            </w:r>
          </w:p>
        </w:tc>
        <w:tc>
          <w:tcPr>
            <w:tcW w:w="6582" w:type="dxa"/>
            <w:vAlign w:val="center"/>
          </w:tcPr>
          <w:p>
            <w:pPr>
              <w:adjustRightInd w:val="0"/>
              <w:snapToGrid w:val="0"/>
              <w:spacing w:line="300" w:lineRule="auto"/>
              <w:rPr>
                <w:rFonts w:ascii="Times New Roman"/>
                <w:sz w:val="24"/>
              </w:rPr>
            </w:pPr>
            <w:r>
              <w:rPr>
                <w:rFonts w:ascii="Times New Roman"/>
                <w:sz w:val="24"/>
              </w:rPr>
              <w:t>要基本体现人职匹配的思路，目标确定、路径设计要符合自身和外部环境实际，正确处理职业生涯规划与测评工具的关系，避免主观臆想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sz w:val="24"/>
              </w:rPr>
            </w:pPr>
          </w:p>
        </w:tc>
        <w:tc>
          <w:tcPr>
            <w:tcW w:w="1260" w:type="dxa"/>
            <w:vAlign w:val="center"/>
          </w:tcPr>
          <w:p>
            <w:pPr>
              <w:adjustRightInd w:val="0"/>
              <w:snapToGrid w:val="0"/>
              <w:spacing w:line="300" w:lineRule="auto"/>
              <w:jc w:val="center"/>
              <w:rPr>
                <w:rFonts w:ascii="Times New Roman"/>
                <w:sz w:val="24"/>
              </w:rPr>
            </w:pPr>
            <w:r>
              <w:rPr>
                <w:rFonts w:ascii="Times New Roman"/>
                <w:sz w:val="24"/>
              </w:rPr>
              <w:t>操作性</w:t>
            </w:r>
          </w:p>
        </w:tc>
        <w:tc>
          <w:tcPr>
            <w:tcW w:w="6582" w:type="dxa"/>
            <w:vAlign w:val="center"/>
          </w:tcPr>
          <w:p>
            <w:pPr>
              <w:adjustRightInd w:val="0"/>
              <w:snapToGrid w:val="0"/>
              <w:spacing w:line="300" w:lineRule="auto"/>
              <w:rPr>
                <w:rFonts w:ascii="Times New Roman"/>
                <w:sz w:val="24"/>
              </w:rPr>
            </w:pPr>
            <w:r>
              <w:rPr>
                <w:rFonts w:ascii="Times New Roman"/>
                <w:sz w:val="24"/>
              </w:rPr>
              <w:t>作品要求思维缜密，目标明确，分析有深度，可操作性强，要有一定的分阶段目标，尤其是近期（大学至毕业后五年）目标规划，分析要具有说服力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Align w:val="center"/>
          </w:tcPr>
          <w:p>
            <w:pPr>
              <w:adjustRightInd w:val="0"/>
              <w:snapToGrid w:val="0"/>
              <w:spacing w:line="300" w:lineRule="auto"/>
              <w:jc w:val="center"/>
              <w:rPr>
                <w:rFonts w:ascii="Times New Roman" w:eastAsia="楷体_GB2312"/>
                <w:sz w:val="24"/>
              </w:rPr>
            </w:pPr>
            <w:r>
              <w:rPr>
                <w:rFonts w:ascii="Times New Roman" w:eastAsia="楷体_GB2312"/>
                <w:sz w:val="24"/>
              </w:rPr>
              <w:t>逻辑性</w:t>
            </w:r>
          </w:p>
        </w:tc>
        <w:tc>
          <w:tcPr>
            <w:tcW w:w="6582" w:type="dxa"/>
            <w:vAlign w:val="center"/>
          </w:tcPr>
          <w:p>
            <w:pPr>
              <w:adjustRightInd w:val="0"/>
              <w:snapToGrid w:val="0"/>
              <w:spacing w:line="300" w:lineRule="auto"/>
              <w:rPr>
                <w:rFonts w:ascii="Times New Roman"/>
                <w:sz w:val="24"/>
              </w:rPr>
            </w:pPr>
            <w:r>
              <w:rPr>
                <w:rFonts w:ascii="Times New Roman"/>
                <w:sz w:val="24"/>
              </w:rPr>
              <w:t>作品逻辑清晰、组织合理，准确把握职业规划设计的核心和关键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widowControl/>
              <w:adjustRightInd w:val="0"/>
              <w:snapToGrid w:val="0"/>
              <w:spacing w:line="300" w:lineRule="auto"/>
              <w:jc w:val="left"/>
              <w:rPr>
                <w:rFonts w:ascii="Times New Roman" w:eastAsia="楷体_GB2312"/>
                <w:sz w:val="24"/>
              </w:rPr>
            </w:pPr>
          </w:p>
        </w:tc>
        <w:tc>
          <w:tcPr>
            <w:tcW w:w="1260" w:type="dxa"/>
            <w:vAlign w:val="center"/>
          </w:tcPr>
          <w:p>
            <w:pPr>
              <w:adjustRightInd w:val="0"/>
              <w:snapToGrid w:val="0"/>
              <w:spacing w:line="300" w:lineRule="auto"/>
              <w:jc w:val="center"/>
              <w:rPr>
                <w:rFonts w:ascii="Times New Roman" w:eastAsia="楷体_GB2312"/>
                <w:sz w:val="24"/>
              </w:rPr>
            </w:pPr>
            <w:r>
              <w:rPr>
                <w:rFonts w:ascii="Times New Roman" w:eastAsia="楷体_GB2312"/>
                <w:sz w:val="24"/>
              </w:rPr>
              <w:t>创新性</w:t>
            </w:r>
          </w:p>
        </w:tc>
        <w:tc>
          <w:tcPr>
            <w:tcW w:w="6582" w:type="dxa"/>
            <w:vAlign w:val="center"/>
          </w:tcPr>
          <w:p>
            <w:pPr>
              <w:adjustRightInd w:val="0"/>
              <w:snapToGrid w:val="0"/>
              <w:spacing w:line="300" w:lineRule="auto"/>
              <w:rPr>
                <w:rFonts w:ascii="Times New Roman"/>
                <w:sz w:val="24"/>
              </w:rPr>
            </w:pPr>
            <w:r>
              <w:rPr>
                <w:rFonts w:ascii="Times New Roman"/>
                <w:sz w:val="24"/>
              </w:rPr>
              <w:t>创意新颖，充分体现个性而不落俗套, 充分展示当代大学生朝气蓬勃的精神风貌</w:t>
            </w:r>
          </w:p>
        </w:tc>
      </w:tr>
    </w:tbl>
    <w:p>
      <w:pPr>
        <w:adjustRightInd w:val="0"/>
        <w:snapToGrid w:val="0"/>
        <w:spacing w:line="348" w:lineRule="auto"/>
        <w:ind w:firstLine="600" w:firstLineChars="200"/>
        <w:rPr>
          <w:rFonts w:ascii="Times New Roman" w:eastAsia="楷体_GB2312"/>
        </w:rPr>
      </w:pPr>
    </w:p>
    <w:p>
      <w:pPr>
        <w:adjustRightInd w:val="0"/>
        <w:snapToGrid w:val="0"/>
        <w:spacing w:line="348" w:lineRule="auto"/>
        <w:ind w:firstLine="600" w:firstLineChars="200"/>
        <w:rPr>
          <w:rFonts w:ascii="Times New Roman" w:eastAsia="楷体_GB2312"/>
        </w:rPr>
      </w:pPr>
    </w:p>
    <w:p>
      <w:pPr>
        <w:adjustRightInd w:val="0"/>
        <w:snapToGrid w:val="0"/>
        <w:spacing w:line="348" w:lineRule="auto"/>
        <w:ind w:firstLine="600" w:firstLineChars="200"/>
        <w:rPr>
          <w:rFonts w:ascii="Times New Roman" w:eastAsia="楷体_GB2312"/>
        </w:rPr>
      </w:pPr>
    </w:p>
    <w:p>
      <w:pPr>
        <w:adjustRightInd w:val="0"/>
        <w:snapToGrid w:val="0"/>
        <w:spacing w:line="348" w:lineRule="auto"/>
        <w:ind w:firstLine="600" w:firstLineChars="200"/>
        <w:rPr>
          <w:rFonts w:ascii="Times New Roman" w:eastAsia="楷体_GB2312"/>
        </w:rPr>
      </w:pPr>
    </w:p>
    <w:p>
      <w:pPr>
        <w:adjustRightInd w:val="0"/>
        <w:snapToGrid w:val="0"/>
        <w:spacing w:line="348" w:lineRule="auto"/>
        <w:ind w:firstLine="600" w:firstLineChars="200"/>
        <w:rPr>
          <w:rFonts w:ascii="Times New Roman" w:eastAsia="楷体_GB2312"/>
        </w:rPr>
      </w:pPr>
      <w:r>
        <w:rPr>
          <w:rFonts w:ascii="Times New Roman" w:eastAsia="楷体_GB2312"/>
        </w:rPr>
        <w:t>（二）《职业生涯人物访谈报告》</w:t>
      </w:r>
    </w:p>
    <w:tbl>
      <w:tblPr>
        <w:tblStyle w:val="6"/>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Times New Roman" w:eastAsia="黑体"/>
                <w:sz w:val="24"/>
              </w:rPr>
            </w:pPr>
            <w:r>
              <w:rPr>
                <w:rFonts w:ascii="Times New Roman" w:hAnsi="黑体" w:eastAsia="黑体"/>
                <w:sz w:val="24"/>
              </w:rPr>
              <w:t>评分要点</w:t>
            </w:r>
          </w:p>
        </w:tc>
        <w:tc>
          <w:tcPr>
            <w:tcW w:w="6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Times New Roman" w:eastAsia="黑体"/>
                <w:sz w:val="24"/>
              </w:rPr>
            </w:pPr>
            <w:r>
              <w:rPr>
                <w:rFonts w:ascii="Times New Roman" w:hAnsi="黑体" w:eastAsia="黑体"/>
                <w:sz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Times New Roman" w:eastAsia="楷体_GB2312"/>
                <w:sz w:val="24"/>
              </w:rPr>
            </w:pPr>
            <w:r>
              <w:rPr>
                <w:rFonts w:ascii="Times New Roman" w:eastAsia="楷体_GB2312"/>
                <w:sz w:val="24"/>
              </w:rPr>
              <w:t>内容完整</w:t>
            </w:r>
          </w:p>
        </w:tc>
        <w:tc>
          <w:tcPr>
            <w:tcW w:w="6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Times New Roman"/>
                <w:sz w:val="24"/>
              </w:rPr>
            </w:pPr>
            <w:r>
              <w:rPr>
                <w:rFonts w:ascii="Times New Roman"/>
                <w:sz w:val="24"/>
              </w:rPr>
              <w:t>报告要体现受访人的单位和个人简介,访问的时间、地点、参与人员等基本要素,列出访谈提纲,确定访谈重点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Times New Roman" w:eastAsia="楷体_GB2312"/>
                <w:sz w:val="24"/>
              </w:rPr>
            </w:pPr>
            <w:r>
              <w:rPr>
                <w:rFonts w:ascii="Times New Roman" w:eastAsia="楷体_GB2312"/>
                <w:sz w:val="24"/>
              </w:rPr>
              <w:t>重点突出</w:t>
            </w:r>
          </w:p>
        </w:tc>
        <w:tc>
          <w:tcPr>
            <w:tcW w:w="6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Times New Roman"/>
                <w:sz w:val="24"/>
              </w:rPr>
            </w:pPr>
            <w:r>
              <w:rPr>
                <w:rFonts w:ascii="Times New Roman"/>
                <w:sz w:val="24"/>
              </w:rPr>
              <w:t>报告要突出选手访谈心得及自身对于职业认知方面的思考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jc w:val="center"/>
              <w:rPr>
                <w:rFonts w:ascii="Times New Roman" w:eastAsia="楷体_GB2312"/>
                <w:sz w:val="24"/>
              </w:rPr>
            </w:pPr>
            <w:r>
              <w:rPr>
                <w:rFonts w:ascii="Times New Roman" w:eastAsia="楷体_GB2312"/>
                <w:sz w:val="24"/>
              </w:rPr>
              <w:t>访谈成果</w:t>
            </w:r>
          </w:p>
        </w:tc>
        <w:tc>
          <w:tcPr>
            <w:tcW w:w="6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8" w:lineRule="auto"/>
              <w:rPr>
                <w:rFonts w:ascii="Times New Roman"/>
                <w:sz w:val="24"/>
              </w:rPr>
            </w:pPr>
            <w:r>
              <w:rPr>
                <w:rFonts w:ascii="Times New Roman"/>
                <w:sz w:val="24"/>
              </w:rPr>
              <w:t>重点表述访谈对于原职业规划的反馈及修正作用</w:t>
            </w:r>
          </w:p>
        </w:tc>
      </w:tr>
    </w:tbl>
    <w:p>
      <w:pPr>
        <w:adjustRightInd w:val="0"/>
        <w:snapToGrid w:val="0"/>
        <w:spacing w:line="348" w:lineRule="auto"/>
        <w:ind w:firstLine="600" w:firstLineChars="200"/>
        <w:rPr>
          <w:rFonts w:ascii="Times New Roman" w:hAnsi="黑体" w:eastAsia="黑体"/>
        </w:rPr>
      </w:pPr>
    </w:p>
    <w:p>
      <w:pPr>
        <w:adjustRightInd w:val="0"/>
        <w:snapToGrid w:val="0"/>
        <w:spacing w:line="348" w:lineRule="auto"/>
        <w:ind w:firstLine="600" w:firstLineChars="200"/>
        <w:rPr>
          <w:rFonts w:ascii="Times New Roman" w:eastAsia="黑体"/>
        </w:rPr>
      </w:pPr>
      <w:r>
        <w:rPr>
          <w:rFonts w:ascii="Times New Roman" w:hAnsi="黑体" w:eastAsia="黑体"/>
        </w:rPr>
        <w:t>二、现场比赛</w:t>
      </w:r>
    </w:p>
    <w:tbl>
      <w:tblPr>
        <w:tblStyle w:val="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02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adjustRightInd w:val="0"/>
              <w:snapToGrid w:val="0"/>
              <w:spacing w:line="348" w:lineRule="auto"/>
              <w:jc w:val="center"/>
              <w:rPr>
                <w:rFonts w:ascii="Times New Roman" w:eastAsia="黑体"/>
                <w:sz w:val="24"/>
              </w:rPr>
            </w:pPr>
            <w:r>
              <w:rPr>
                <w:rFonts w:ascii="Times New Roman" w:hAnsi="黑体" w:eastAsia="黑体"/>
                <w:sz w:val="24"/>
              </w:rPr>
              <w:t>评分要素</w:t>
            </w:r>
          </w:p>
        </w:tc>
        <w:tc>
          <w:tcPr>
            <w:tcW w:w="2025" w:type="dxa"/>
            <w:vAlign w:val="center"/>
          </w:tcPr>
          <w:p>
            <w:pPr>
              <w:adjustRightInd w:val="0"/>
              <w:snapToGrid w:val="0"/>
              <w:spacing w:line="348" w:lineRule="auto"/>
              <w:jc w:val="center"/>
              <w:rPr>
                <w:rFonts w:ascii="Times New Roman" w:eastAsia="黑体"/>
                <w:sz w:val="24"/>
              </w:rPr>
            </w:pPr>
            <w:r>
              <w:rPr>
                <w:rFonts w:ascii="Times New Roman" w:hAnsi="黑体" w:eastAsia="黑体"/>
                <w:sz w:val="24"/>
              </w:rPr>
              <w:t>评分要点</w:t>
            </w:r>
          </w:p>
        </w:tc>
        <w:tc>
          <w:tcPr>
            <w:tcW w:w="5515" w:type="dxa"/>
            <w:vAlign w:val="center"/>
          </w:tcPr>
          <w:p>
            <w:pPr>
              <w:adjustRightInd w:val="0"/>
              <w:snapToGrid w:val="0"/>
              <w:spacing w:line="348" w:lineRule="auto"/>
              <w:jc w:val="center"/>
              <w:rPr>
                <w:rFonts w:ascii="Times New Roman" w:eastAsia="黑体"/>
                <w:sz w:val="24"/>
              </w:rPr>
            </w:pPr>
            <w:r>
              <w:rPr>
                <w:rFonts w:ascii="Times New Roman" w:hAnsi="黑体" w:eastAsia="黑体"/>
                <w:sz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63" w:type="dxa"/>
            <w:vMerge w:val="restart"/>
            <w:vAlign w:val="center"/>
          </w:tcPr>
          <w:p>
            <w:pPr>
              <w:adjustRightInd w:val="0"/>
              <w:snapToGrid w:val="0"/>
              <w:spacing w:line="348" w:lineRule="auto"/>
              <w:jc w:val="center"/>
              <w:rPr>
                <w:rFonts w:ascii="Times New Roman" w:eastAsia="楷体_GB2312"/>
                <w:sz w:val="24"/>
              </w:rPr>
            </w:pPr>
            <w:r>
              <w:rPr>
                <w:rFonts w:ascii="Times New Roman" w:eastAsia="楷体_GB2312"/>
                <w:sz w:val="24"/>
              </w:rPr>
              <w:t>PPT制作</w:t>
            </w:r>
          </w:p>
          <w:p>
            <w:pPr>
              <w:adjustRightInd w:val="0"/>
              <w:snapToGrid w:val="0"/>
              <w:spacing w:line="348" w:lineRule="auto"/>
              <w:jc w:val="center"/>
              <w:rPr>
                <w:rFonts w:ascii="Times New Roman" w:eastAsia="楷体_GB2312"/>
                <w:sz w:val="24"/>
              </w:rPr>
            </w:pPr>
            <w:r>
              <w:rPr>
                <w:rFonts w:ascii="Times New Roman" w:eastAsia="楷体_GB2312"/>
                <w:sz w:val="24"/>
              </w:rPr>
              <w:t>及展示</w:t>
            </w: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PPT制作</w:t>
            </w:r>
          </w:p>
        </w:tc>
        <w:tc>
          <w:tcPr>
            <w:tcW w:w="5515" w:type="dxa"/>
            <w:vAlign w:val="center"/>
          </w:tcPr>
          <w:p>
            <w:pPr>
              <w:adjustRightInd w:val="0"/>
              <w:snapToGrid w:val="0"/>
              <w:spacing w:line="348" w:lineRule="auto"/>
              <w:rPr>
                <w:rFonts w:ascii="Times New Roman"/>
                <w:sz w:val="24"/>
              </w:rPr>
            </w:pPr>
            <w:r>
              <w:rPr>
                <w:rFonts w:ascii="Times New Roman"/>
                <w:sz w:val="24"/>
              </w:rPr>
              <w:t>制作美观，条理清晰。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表达的完整性</w:t>
            </w:r>
          </w:p>
        </w:tc>
        <w:tc>
          <w:tcPr>
            <w:tcW w:w="5515" w:type="dxa"/>
            <w:vAlign w:val="center"/>
          </w:tcPr>
          <w:p>
            <w:pPr>
              <w:adjustRightInd w:val="0"/>
              <w:snapToGrid w:val="0"/>
              <w:spacing w:line="348" w:lineRule="auto"/>
              <w:rPr>
                <w:rFonts w:ascii="Times New Roman"/>
                <w:sz w:val="24"/>
              </w:rPr>
            </w:pPr>
            <w:r>
              <w:rPr>
                <w:rFonts w:ascii="Times New Roman"/>
                <w:sz w:val="24"/>
              </w:rPr>
              <w:t>能够准确表达作品内容，准确把握职业规划设计的核心和关键。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自我表达力</w:t>
            </w:r>
          </w:p>
        </w:tc>
        <w:tc>
          <w:tcPr>
            <w:tcW w:w="5515" w:type="dxa"/>
            <w:vAlign w:val="center"/>
          </w:tcPr>
          <w:p>
            <w:pPr>
              <w:adjustRightInd w:val="0"/>
              <w:snapToGrid w:val="0"/>
              <w:spacing w:line="348" w:lineRule="auto"/>
              <w:rPr>
                <w:rFonts w:ascii="Times New Roman"/>
                <w:sz w:val="24"/>
              </w:rPr>
            </w:pPr>
            <w:r>
              <w:rPr>
                <w:rFonts w:ascii="Times New Roman"/>
                <w:sz w:val="24"/>
              </w:rPr>
              <w:t>选手必须脱稿陈述，普通话要标准清晰，语言流畅，语速适中，表达简洁。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表达生动性</w:t>
            </w:r>
          </w:p>
        </w:tc>
        <w:tc>
          <w:tcPr>
            <w:tcW w:w="5515" w:type="dxa"/>
            <w:vAlign w:val="center"/>
          </w:tcPr>
          <w:p>
            <w:pPr>
              <w:adjustRightInd w:val="0"/>
              <w:snapToGrid w:val="0"/>
              <w:spacing w:line="348" w:lineRule="auto"/>
              <w:rPr>
                <w:rFonts w:ascii="Times New Roman"/>
                <w:sz w:val="24"/>
              </w:rPr>
            </w:pPr>
            <w:r>
              <w:rPr>
                <w:rFonts w:ascii="Times New Roman"/>
                <w:sz w:val="24"/>
              </w:rPr>
              <w:t>表现力强，有感染力，控场灵活有效，能够调动观众气氛，现场互动效果优良。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仪 态</w:t>
            </w:r>
          </w:p>
        </w:tc>
        <w:tc>
          <w:tcPr>
            <w:tcW w:w="5515" w:type="dxa"/>
            <w:vAlign w:val="center"/>
          </w:tcPr>
          <w:p>
            <w:pPr>
              <w:adjustRightInd w:val="0"/>
              <w:snapToGrid w:val="0"/>
              <w:spacing w:line="348" w:lineRule="auto"/>
              <w:rPr>
                <w:rFonts w:ascii="Times New Roman"/>
                <w:sz w:val="24"/>
              </w:rPr>
            </w:pPr>
            <w:r>
              <w:rPr>
                <w:rFonts w:ascii="Times New Roman"/>
                <w:sz w:val="24"/>
              </w:rPr>
              <w:t>着装得体，仪态端庄、大方、美观。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vAlign w:val="center"/>
          </w:tcPr>
          <w:p>
            <w:pPr>
              <w:adjustRightInd w:val="0"/>
              <w:snapToGrid w:val="0"/>
              <w:spacing w:line="348" w:lineRule="auto"/>
              <w:jc w:val="center"/>
              <w:rPr>
                <w:rFonts w:ascii="Times New Roman" w:eastAsia="楷体_GB2312"/>
                <w:sz w:val="24"/>
              </w:rPr>
            </w:pPr>
            <w:r>
              <w:rPr>
                <w:rFonts w:ascii="Times New Roman" w:eastAsia="楷体_GB2312"/>
                <w:sz w:val="24"/>
              </w:rPr>
              <w:t>职业角色情景模拟</w:t>
            </w:r>
          </w:p>
          <w:p>
            <w:pPr>
              <w:adjustRightInd w:val="0"/>
              <w:snapToGrid w:val="0"/>
              <w:spacing w:line="348" w:lineRule="auto"/>
              <w:jc w:val="center"/>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作品内容</w:t>
            </w:r>
          </w:p>
        </w:tc>
        <w:tc>
          <w:tcPr>
            <w:tcW w:w="5515" w:type="dxa"/>
            <w:vAlign w:val="center"/>
          </w:tcPr>
          <w:p>
            <w:pPr>
              <w:adjustRightInd w:val="0"/>
              <w:snapToGrid w:val="0"/>
              <w:spacing w:line="348" w:lineRule="auto"/>
              <w:rPr>
                <w:rFonts w:ascii="Times New Roman"/>
                <w:sz w:val="24"/>
              </w:rPr>
            </w:pPr>
            <w:r>
              <w:rPr>
                <w:rFonts w:ascii="Times New Roman"/>
                <w:sz w:val="24"/>
              </w:rPr>
              <w:t>准确理解职业角色的特点； 准确再现职业性格，角色亮点突出；切合自己的职业规划目标设计；符合社会对于该职业角色的普遍评价。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情境理解</w:t>
            </w:r>
          </w:p>
        </w:tc>
        <w:tc>
          <w:tcPr>
            <w:tcW w:w="5515" w:type="dxa"/>
            <w:vAlign w:val="center"/>
          </w:tcPr>
          <w:p>
            <w:pPr>
              <w:adjustRightInd w:val="0"/>
              <w:snapToGrid w:val="0"/>
              <w:spacing w:line="348" w:lineRule="auto"/>
              <w:rPr>
                <w:rFonts w:ascii="Times New Roman"/>
                <w:sz w:val="24"/>
              </w:rPr>
            </w:pPr>
            <w:r>
              <w:rPr>
                <w:rFonts w:ascii="Times New Roman"/>
                <w:sz w:val="24"/>
              </w:rPr>
              <w:t>把虚拟场景现实化、具体化，不夸张、不过分虚构；情境介绍简要，突出主要因素（人物、场景、事由）；准确把握角色与情境的交融；情境主要因素表现到位。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过程模拟</w:t>
            </w:r>
          </w:p>
        </w:tc>
        <w:tc>
          <w:tcPr>
            <w:tcW w:w="5515" w:type="dxa"/>
            <w:vAlign w:val="center"/>
          </w:tcPr>
          <w:p>
            <w:pPr>
              <w:adjustRightInd w:val="0"/>
              <w:snapToGrid w:val="0"/>
              <w:spacing w:line="348" w:lineRule="auto"/>
              <w:rPr>
                <w:rFonts w:ascii="Times New Roman"/>
                <w:sz w:val="24"/>
              </w:rPr>
            </w:pPr>
            <w:r>
              <w:rPr>
                <w:rFonts w:ascii="Times New Roman"/>
                <w:sz w:val="24"/>
              </w:rPr>
              <w:t>内容生动，主题鲜明，设计新颖，充分体现职业素养、行业要求、岗位标准、职业道德等；动作流畅、语言平实、道具安排合理，表现自然，富有特色；时间把控合理，突出展示重点的时间分配； 感情真挚。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情节表现</w:t>
            </w:r>
          </w:p>
        </w:tc>
        <w:tc>
          <w:tcPr>
            <w:tcW w:w="5515" w:type="dxa"/>
            <w:vAlign w:val="center"/>
          </w:tcPr>
          <w:p>
            <w:pPr>
              <w:adjustRightInd w:val="0"/>
              <w:snapToGrid w:val="0"/>
              <w:spacing w:line="348" w:lineRule="auto"/>
              <w:rPr>
                <w:rFonts w:ascii="Times New Roman"/>
                <w:sz w:val="24"/>
              </w:rPr>
            </w:pPr>
            <w:r>
              <w:rPr>
                <w:rFonts w:ascii="Times New Roman"/>
                <w:sz w:val="24"/>
              </w:rPr>
              <w:t>风格鲜明，切合职业角色；情节连贯，具有逻辑性和叙事性；情节设计具有独创性、新颖性；现场观众或配合对象互动效果好。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基本素质</w:t>
            </w:r>
          </w:p>
        </w:tc>
        <w:tc>
          <w:tcPr>
            <w:tcW w:w="5515" w:type="dxa"/>
            <w:vAlign w:val="center"/>
          </w:tcPr>
          <w:p>
            <w:pPr>
              <w:adjustRightInd w:val="0"/>
              <w:snapToGrid w:val="0"/>
              <w:spacing w:line="348" w:lineRule="auto"/>
              <w:rPr>
                <w:rFonts w:ascii="Times New Roman"/>
                <w:sz w:val="24"/>
              </w:rPr>
            </w:pPr>
            <w:r>
              <w:rPr>
                <w:rFonts w:ascii="Times New Roman"/>
                <w:sz w:val="24"/>
              </w:rPr>
              <w:t>衣着整洁,仪表端庄,谈吐文雅,精神饱满。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vMerge w:val="restart"/>
            <w:vAlign w:val="center"/>
          </w:tcPr>
          <w:p>
            <w:pPr>
              <w:adjustRightInd w:val="0"/>
              <w:snapToGrid w:val="0"/>
              <w:spacing w:line="348" w:lineRule="auto"/>
              <w:jc w:val="center"/>
              <w:rPr>
                <w:rFonts w:ascii="Times New Roman" w:eastAsia="楷体_GB2312"/>
                <w:sz w:val="24"/>
              </w:rPr>
            </w:pPr>
            <w:r>
              <w:rPr>
                <w:rFonts w:ascii="Times New Roman" w:eastAsia="楷体_GB2312"/>
                <w:sz w:val="24"/>
              </w:rPr>
              <w:t>现场答辩</w:t>
            </w: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准确性</w:t>
            </w:r>
          </w:p>
        </w:tc>
        <w:tc>
          <w:tcPr>
            <w:tcW w:w="5515" w:type="dxa"/>
            <w:vAlign w:val="center"/>
          </w:tcPr>
          <w:p>
            <w:pPr>
              <w:adjustRightInd w:val="0"/>
              <w:snapToGrid w:val="0"/>
              <w:spacing w:line="348" w:lineRule="auto"/>
              <w:rPr>
                <w:rFonts w:ascii="Times New Roman"/>
                <w:sz w:val="24"/>
              </w:rPr>
            </w:pPr>
            <w:r>
              <w:rPr>
                <w:rFonts w:ascii="Times New Roman"/>
                <w:sz w:val="24"/>
              </w:rPr>
              <w:t>准确回答专家所提出的问题，内容完整。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条理性</w:t>
            </w:r>
          </w:p>
        </w:tc>
        <w:tc>
          <w:tcPr>
            <w:tcW w:w="5515" w:type="dxa"/>
            <w:vAlign w:val="center"/>
          </w:tcPr>
          <w:p>
            <w:pPr>
              <w:adjustRightInd w:val="0"/>
              <w:snapToGrid w:val="0"/>
              <w:spacing w:line="348" w:lineRule="auto"/>
              <w:rPr>
                <w:rFonts w:ascii="Times New Roman"/>
                <w:sz w:val="24"/>
              </w:rPr>
            </w:pPr>
            <w:r>
              <w:rPr>
                <w:rFonts w:ascii="Times New Roman"/>
                <w:sz w:val="24"/>
              </w:rPr>
              <w:t>逻辑清晰，语言组织能力强。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widowControl/>
              <w:adjustRightInd w:val="0"/>
              <w:snapToGrid w:val="0"/>
              <w:spacing w:line="348" w:lineRule="auto"/>
              <w:jc w:val="left"/>
              <w:rPr>
                <w:rFonts w:ascii="Times New Roman" w:eastAsia="楷体_GB2312"/>
                <w:sz w:val="24"/>
              </w:rPr>
            </w:pPr>
          </w:p>
        </w:tc>
        <w:tc>
          <w:tcPr>
            <w:tcW w:w="2025" w:type="dxa"/>
            <w:vAlign w:val="center"/>
          </w:tcPr>
          <w:p>
            <w:pPr>
              <w:adjustRightInd w:val="0"/>
              <w:snapToGrid w:val="0"/>
              <w:spacing w:line="348" w:lineRule="auto"/>
              <w:jc w:val="center"/>
              <w:rPr>
                <w:rFonts w:ascii="Times New Roman" w:eastAsia="楷体_GB2312"/>
                <w:sz w:val="24"/>
              </w:rPr>
            </w:pPr>
            <w:r>
              <w:rPr>
                <w:rFonts w:ascii="Times New Roman" w:eastAsia="楷体_GB2312"/>
                <w:sz w:val="24"/>
              </w:rPr>
              <w:t>把控性</w:t>
            </w:r>
          </w:p>
        </w:tc>
        <w:tc>
          <w:tcPr>
            <w:tcW w:w="5515" w:type="dxa"/>
            <w:vAlign w:val="center"/>
          </w:tcPr>
          <w:p>
            <w:pPr>
              <w:adjustRightInd w:val="0"/>
              <w:snapToGrid w:val="0"/>
              <w:spacing w:line="348" w:lineRule="auto"/>
              <w:rPr>
                <w:rFonts w:ascii="Times New Roman"/>
                <w:sz w:val="24"/>
              </w:rPr>
            </w:pPr>
            <w:r>
              <w:rPr>
                <w:rFonts w:ascii="Times New Roman"/>
                <w:sz w:val="24"/>
              </w:rPr>
              <w:t>思路敏捷，现场把控能力强。</w:t>
            </w:r>
          </w:p>
        </w:tc>
      </w:tr>
    </w:tbl>
    <w:p>
      <w:pPr>
        <w:adjustRightInd w:val="0"/>
        <w:snapToGrid w:val="0"/>
        <w:spacing w:line="348" w:lineRule="auto"/>
        <w:rPr>
          <w:rFonts w:ascii="Times New Roman"/>
          <w:kern w:val="0"/>
          <w:sz w:val="32"/>
          <w:szCs w:val="32"/>
        </w:rPr>
      </w:pPr>
      <w:r>
        <w:rPr>
          <w:rFonts w:ascii="Times New Roman"/>
          <w:kern w:val="0"/>
          <w:sz w:val="32"/>
          <w:szCs w:val="32"/>
        </w:rPr>
        <w:br w:type="page"/>
      </w:r>
    </w:p>
    <w:p>
      <w:pPr>
        <w:spacing w:line="348" w:lineRule="auto"/>
        <w:jc w:val="left"/>
        <w:rPr>
          <w:color w:val="auto"/>
          <w:sz w:val="32"/>
          <w:szCs w:val="32"/>
        </w:rPr>
      </w:pPr>
      <w:r>
        <w:rPr>
          <w:rFonts w:hint="eastAsia"/>
          <w:color w:val="auto"/>
          <w:sz w:val="32"/>
          <w:szCs w:val="32"/>
        </w:rPr>
        <w:t>附件4</w:t>
      </w:r>
    </w:p>
    <w:p>
      <w:pPr>
        <w:adjustRightInd w:val="0"/>
        <w:snapToGrid w:val="0"/>
        <w:spacing w:line="348" w:lineRule="auto"/>
        <w:ind w:firstLine="640" w:firstLineChars="200"/>
        <w:rPr>
          <w:rFonts w:ascii="黑体" w:hAnsi="黑体" w:eastAsia="黑体" w:cs="黑体"/>
          <w:color w:val="auto"/>
          <w:kern w:val="0"/>
          <w:sz w:val="32"/>
          <w:szCs w:val="32"/>
        </w:rPr>
      </w:pPr>
    </w:p>
    <w:p>
      <w:pPr>
        <w:adjustRightInd w:val="0"/>
        <w:snapToGrid w:val="0"/>
        <w:spacing w:line="348" w:lineRule="auto"/>
        <w:ind w:firstLine="600" w:firstLineChars="200"/>
        <w:rPr>
          <w:rFonts w:ascii="黑体" w:hAnsi="黑体" w:eastAsia="黑体" w:cs="黑体"/>
          <w:color w:val="auto"/>
          <w:kern w:val="0"/>
          <w:sz w:val="32"/>
          <w:szCs w:val="32"/>
        </w:rPr>
      </w:pPr>
      <w:r>
        <w:fldChar w:fldCharType="begin"/>
      </w:r>
      <w:r>
        <w:instrText xml:space="preserve"> HYPERLINK "http://hpu.bysjy.com.cn/detail/news?id=634258&amp;menu_id=&amp;type_id=9129" </w:instrText>
      </w:r>
      <w:r>
        <w:fldChar w:fldCharType="separate"/>
      </w:r>
      <w:r>
        <w:rPr>
          <w:rStyle w:val="9"/>
          <w:rFonts w:hint="eastAsia" w:ascii="Times New Roman"/>
          <w:color w:val="auto"/>
          <w:sz w:val="32"/>
          <w:szCs w:val="32"/>
          <w:u w:val="none"/>
        </w:rPr>
        <w:t>河南省教育厅等七部门关于举办2021年全省大学生职业生涯规划大赛的通知</w:t>
      </w:r>
      <w:r>
        <w:rPr>
          <w:rStyle w:val="9"/>
          <w:rFonts w:hint="eastAsia" w:ascii="Times New Roman"/>
          <w:color w:val="auto"/>
          <w:sz w:val="32"/>
          <w:szCs w:val="32"/>
          <w:u w:val="none"/>
        </w:rPr>
        <w:fldChar w:fldCharType="end"/>
      </w:r>
    </w:p>
    <w:sectPr>
      <w:pgSz w:w="11906" w:h="16838"/>
      <w:pgMar w:top="1644" w:right="1418" w:bottom="2268" w:left="16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swiss"/>
    <w:pitch w:val="default"/>
    <w:sig w:usb0="00000000" w:usb1="00000000" w:usb2="00000000" w:usb3="00000000" w:csb0="0000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40"/>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95"/>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16"/>
    <w:rsid w:val="000000D2"/>
    <w:rsid w:val="00030B9C"/>
    <w:rsid w:val="00030BF8"/>
    <w:rsid w:val="00044034"/>
    <w:rsid w:val="0004796C"/>
    <w:rsid w:val="0006507F"/>
    <w:rsid w:val="00071B77"/>
    <w:rsid w:val="00082516"/>
    <w:rsid w:val="00091036"/>
    <w:rsid w:val="00095559"/>
    <w:rsid w:val="000B002E"/>
    <w:rsid w:val="000B1DDE"/>
    <w:rsid w:val="00103233"/>
    <w:rsid w:val="00103D49"/>
    <w:rsid w:val="0010692D"/>
    <w:rsid w:val="0010713D"/>
    <w:rsid w:val="00113843"/>
    <w:rsid w:val="00113AC7"/>
    <w:rsid w:val="00120E66"/>
    <w:rsid w:val="001501E2"/>
    <w:rsid w:val="001661D2"/>
    <w:rsid w:val="0018200B"/>
    <w:rsid w:val="001908A5"/>
    <w:rsid w:val="001945AF"/>
    <w:rsid w:val="00196AA0"/>
    <w:rsid w:val="001A38E6"/>
    <w:rsid w:val="001C186A"/>
    <w:rsid w:val="001C4373"/>
    <w:rsid w:val="001C66FD"/>
    <w:rsid w:val="001D637F"/>
    <w:rsid w:val="001E01E6"/>
    <w:rsid w:val="001E5378"/>
    <w:rsid w:val="001F5CB9"/>
    <w:rsid w:val="00207375"/>
    <w:rsid w:val="00211DCC"/>
    <w:rsid w:val="002161BB"/>
    <w:rsid w:val="00216898"/>
    <w:rsid w:val="002263D6"/>
    <w:rsid w:val="00240520"/>
    <w:rsid w:val="00265AEA"/>
    <w:rsid w:val="0027397F"/>
    <w:rsid w:val="00280A2F"/>
    <w:rsid w:val="002A017B"/>
    <w:rsid w:val="002F0D1D"/>
    <w:rsid w:val="00302A04"/>
    <w:rsid w:val="003049B0"/>
    <w:rsid w:val="00315848"/>
    <w:rsid w:val="003161AC"/>
    <w:rsid w:val="00322447"/>
    <w:rsid w:val="003322B1"/>
    <w:rsid w:val="003503F2"/>
    <w:rsid w:val="00366884"/>
    <w:rsid w:val="00370127"/>
    <w:rsid w:val="00373C46"/>
    <w:rsid w:val="003B39AF"/>
    <w:rsid w:val="003B7615"/>
    <w:rsid w:val="003C18F5"/>
    <w:rsid w:val="003C2285"/>
    <w:rsid w:val="003C64EE"/>
    <w:rsid w:val="003E1392"/>
    <w:rsid w:val="003E2D18"/>
    <w:rsid w:val="003E746E"/>
    <w:rsid w:val="00403F52"/>
    <w:rsid w:val="00411980"/>
    <w:rsid w:val="00422948"/>
    <w:rsid w:val="00436159"/>
    <w:rsid w:val="004417A3"/>
    <w:rsid w:val="00442925"/>
    <w:rsid w:val="00453A5C"/>
    <w:rsid w:val="004547D9"/>
    <w:rsid w:val="00465969"/>
    <w:rsid w:val="00483C5A"/>
    <w:rsid w:val="00484361"/>
    <w:rsid w:val="004B28CA"/>
    <w:rsid w:val="004B72AB"/>
    <w:rsid w:val="004D55CD"/>
    <w:rsid w:val="004D58A0"/>
    <w:rsid w:val="004F37A6"/>
    <w:rsid w:val="00520181"/>
    <w:rsid w:val="005252FB"/>
    <w:rsid w:val="005407E8"/>
    <w:rsid w:val="00546CC3"/>
    <w:rsid w:val="0055775D"/>
    <w:rsid w:val="0056439E"/>
    <w:rsid w:val="005923CB"/>
    <w:rsid w:val="00597109"/>
    <w:rsid w:val="005B5B4D"/>
    <w:rsid w:val="005D245E"/>
    <w:rsid w:val="00602D3E"/>
    <w:rsid w:val="006103FD"/>
    <w:rsid w:val="0063036B"/>
    <w:rsid w:val="00630E36"/>
    <w:rsid w:val="00652C53"/>
    <w:rsid w:val="0066075B"/>
    <w:rsid w:val="006630D6"/>
    <w:rsid w:val="00665470"/>
    <w:rsid w:val="00684364"/>
    <w:rsid w:val="006925F0"/>
    <w:rsid w:val="006E3376"/>
    <w:rsid w:val="00701988"/>
    <w:rsid w:val="0071209D"/>
    <w:rsid w:val="00714AE1"/>
    <w:rsid w:val="00727666"/>
    <w:rsid w:val="0073116D"/>
    <w:rsid w:val="00740F06"/>
    <w:rsid w:val="00744D53"/>
    <w:rsid w:val="007456A7"/>
    <w:rsid w:val="007459D0"/>
    <w:rsid w:val="007501BA"/>
    <w:rsid w:val="007605CD"/>
    <w:rsid w:val="00761B01"/>
    <w:rsid w:val="007768B5"/>
    <w:rsid w:val="007805DB"/>
    <w:rsid w:val="007A0354"/>
    <w:rsid w:val="007A477B"/>
    <w:rsid w:val="007A59B1"/>
    <w:rsid w:val="007A6E2C"/>
    <w:rsid w:val="007E6048"/>
    <w:rsid w:val="008066EA"/>
    <w:rsid w:val="00812EB1"/>
    <w:rsid w:val="00894CB7"/>
    <w:rsid w:val="008A352C"/>
    <w:rsid w:val="008D5FCB"/>
    <w:rsid w:val="009028E8"/>
    <w:rsid w:val="0090669B"/>
    <w:rsid w:val="00947408"/>
    <w:rsid w:val="0094750D"/>
    <w:rsid w:val="00984E42"/>
    <w:rsid w:val="009927D5"/>
    <w:rsid w:val="00992D4B"/>
    <w:rsid w:val="009A0183"/>
    <w:rsid w:val="009D639B"/>
    <w:rsid w:val="009E76B7"/>
    <w:rsid w:val="00A30B2A"/>
    <w:rsid w:val="00A70588"/>
    <w:rsid w:val="00A83F22"/>
    <w:rsid w:val="00A87BB3"/>
    <w:rsid w:val="00AB17F0"/>
    <w:rsid w:val="00B13421"/>
    <w:rsid w:val="00B267AA"/>
    <w:rsid w:val="00B77187"/>
    <w:rsid w:val="00B7720E"/>
    <w:rsid w:val="00B85EDD"/>
    <w:rsid w:val="00BB7026"/>
    <w:rsid w:val="00BD22A7"/>
    <w:rsid w:val="00C02344"/>
    <w:rsid w:val="00C21FF5"/>
    <w:rsid w:val="00C426BE"/>
    <w:rsid w:val="00C43457"/>
    <w:rsid w:val="00C95354"/>
    <w:rsid w:val="00CA029E"/>
    <w:rsid w:val="00CA7CD7"/>
    <w:rsid w:val="00CD0675"/>
    <w:rsid w:val="00CD1CA7"/>
    <w:rsid w:val="00CD6742"/>
    <w:rsid w:val="00CE0FB7"/>
    <w:rsid w:val="00CE777B"/>
    <w:rsid w:val="00D26E6A"/>
    <w:rsid w:val="00D46BD6"/>
    <w:rsid w:val="00D84755"/>
    <w:rsid w:val="00D92656"/>
    <w:rsid w:val="00DB001F"/>
    <w:rsid w:val="00DB4FCB"/>
    <w:rsid w:val="00DB7AAC"/>
    <w:rsid w:val="00DE4A27"/>
    <w:rsid w:val="00DF2B41"/>
    <w:rsid w:val="00E15120"/>
    <w:rsid w:val="00E21839"/>
    <w:rsid w:val="00E24C71"/>
    <w:rsid w:val="00E55127"/>
    <w:rsid w:val="00E5678F"/>
    <w:rsid w:val="00E574A9"/>
    <w:rsid w:val="00E60880"/>
    <w:rsid w:val="00E619AF"/>
    <w:rsid w:val="00E703FE"/>
    <w:rsid w:val="00E877D4"/>
    <w:rsid w:val="00E920EF"/>
    <w:rsid w:val="00EA7022"/>
    <w:rsid w:val="00EB565B"/>
    <w:rsid w:val="00EC10E7"/>
    <w:rsid w:val="00ED2AA6"/>
    <w:rsid w:val="00ED621F"/>
    <w:rsid w:val="00EE42AB"/>
    <w:rsid w:val="00EE74C0"/>
    <w:rsid w:val="00F12CFE"/>
    <w:rsid w:val="00F16C0A"/>
    <w:rsid w:val="00F16EE5"/>
    <w:rsid w:val="00F278E6"/>
    <w:rsid w:val="00F316EF"/>
    <w:rsid w:val="00F31989"/>
    <w:rsid w:val="00F33193"/>
    <w:rsid w:val="00F61004"/>
    <w:rsid w:val="00F619CC"/>
    <w:rsid w:val="00F65529"/>
    <w:rsid w:val="00F72EB5"/>
    <w:rsid w:val="00F756F5"/>
    <w:rsid w:val="00FA2E1F"/>
    <w:rsid w:val="00FA4595"/>
    <w:rsid w:val="00FA5EB7"/>
    <w:rsid w:val="00FA5F88"/>
    <w:rsid w:val="00FB54C8"/>
    <w:rsid w:val="00FC092D"/>
    <w:rsid w:val="00FF0AE1"/>
    <w:rsid w:val="02846E5D"/>
    <w:rsid w:val="0BC870C3"/>
    <w:rsid w:val="137D4382"/>
    <w:rsid w:val="15AA1016"/>
    <w:rsid w:val="28573534"/>
    <w:rsid w:val="3AF67F13"/>
    <w:rsid w:val="3C063F62"/>
    <w:rsid w:val="3C242B7F"/>
    <w:rsid w:val="3C937BFE"/>
    <w:rsid w:val="3C986456"/>
    <w:rsid w:val="409068B1"/>
    <w:rsid w:val="4BF8651F"/>
    <w:rsid w:val="4C5F7739"/>
    <w:rsid w:val="4E944C46"/>
    <w:rsid w:val="4FD00CC1"/>
    <w:rsid w:val="50073D7D"/>
    <w:rsid w:val="6CDC1B9C"/>
    <w:rsid w:val="6F3F5896"/>
    <w:rsid w:val="70CD6757"/>
    <w:rsid w:val="761E48E2"/>
    <w:rsid w:val="779454DE"/>
    <w:rsid w:val="7D9B525A"/>
    <w:rsid w:val="7FCB4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3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Theme="minorEastAsia" w:cstheme="minorBidi"/>
      <w:color w:val="auto"/>
      <w:kern w:val="0"/>
      <w:sz w:val="21"/>
      <w:szCs w:val="21"/>
    </w:r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unhideWhenUsed/>
    <w:qFormat/>
    <w:uiPriority w:val="99"/>
    <w:rPr>
      <w:color w:val="0000FF" w:themeColor="hyperlink"/>
      <w:u w:val="single"/>
    </w:rPr>
  </w:style>
  <w:style w:type="paragraph" w:customStyle="1" w:styleId="10">
    <w:name w:val="Default"/>
    <w:qFormat/>
    <w:uiPriority w:val="0"/>
    <w:pPr>
      <w:widowControl w:val="0"/>
      <w:autoSpaceDE w:val="0"/>
      <w:autoSpaceDN w:val="0"/>
      <w:adjustRightInd w:val="0"/>
    </w:pPr>
    <w:rPr>
      <w:rFonts w:ascii="FangSong_GB2312" w:hAnsi="FangSong_GB2312" w:cs="FangSong_GB2312" w:eastAsiaTheme="minorEastAsia"/>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仿宋_GB2312" w:hAnsi="Times New Roman" w:eastAsia="仿宋_GB2312" w:cs="Times New Roman"/>
      <w:color w:val="000000"/>
      <w:sz w:val="18"/>
      <w:szCs w:val="18"/>
    </w:rPr>
  </w:style>
  <w:style w:type="character" w:customStyle="1" w:styleId="13">
    <w:name w:val="页眉 Char"/>
    <w:basedOn w:val="7"/>
    <w:link w:val="4"/>
    <w:semiHidden/>
    <w:qFormat/>
    <w:uiPriority w:val="99"/>
    <w:rPr>
      <w:rFonts w:ascii="仿宋_GB2312" w:hAnsi="Times New Roman" w:eastAsia="仿宋_GB2312" w:cs="Times New Roman"/>
      <w:color w:val="000000"/>
      <w:sz w:val="18"/>
      <w:szCs w:val="18"/>
    </w:rPr>
  </w:style>
  <w:style w:type="character" w:customStyle="1" w:styleId="14">
    <w:name w:val="页脚 Char"/>
    <w:basedOn w:val="7"/>
    <w:link w:val="3"/>
    <w:qFormat/>
    <w:uiPriority w:val="99"/>
    <w:rPr>
      <w:rFonts w:ascii="仿宋_GB2312" w:hAnsi="Times New Roman" w:eastAsia="仿宋_GB2312" w:cs="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70602-F71B-4D79-9D69-FD64BD150B86}">
  <ds:schemaRefs/>
</ds:datastoreItem>
</file>

<file path=docProps/app.xml><?xml version="1.0" encoding="utf-8"?>
<Properties xmlns="http://schemas.openxmlformats.org/officeDocument/2006/extended-properties" xmlns:vt="http://schemas.openxmlformats.org/officeDocument/2006/docPropsVTypes">
  <Template>Normal</Template>
  <Pages>12</Pages>
  <Words>695</Words>
  <Characters>3965</Characters>
  <Lines>33</Lines>
  <Paragraphs>9</Paragraphs>
  <TotalTime>75</TotalTime>
  <ScaleCrop>false</ScaleCrop>
  <LinksUpToDate>false</LinksUpToDate>
  <CharactersWithSpaces>4651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2021-10-18T07:02:00Z</dcterms:created>
  <dc:creator>郑钧予</dc:creator>
  <cp:lastModifiedBy>心若莲花</cp:lastModifiedBy>
  <cp:lastPrinted>2021-10-20T07:46:00Z</cp:lastPrinted>
  <dcterms:modified xsi:type="dcterms:W3CDTF">2021-10-20T08:15:59Z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65BCB2B94F41471EA984334F73DA730B</vt:lpwstr>
  </property>
</Properties>
</file>